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CC3E" w14:textId="6DC6A884" w:rsidR="1B77CF56" w:rsidRDefault="082E60E8" w:rsidP="003F094D">
      <w:pPr>
        <w:pStyle w:val="Heading2"/>
        <w:jc w:val="center"/>
      </w:pPr>
      <w:r w:rsidRPr="22BFCC0F">
        <w:t>N</w:t>
      </w:r>
      <w:bookmarkStart w:id="0" w:name="_GoBack"/>
      <w:r w:rsidRPr="22BFCC0F">
        <w:t xml:space="preserve">euromorphic </w:t>
      </w:r>
      <w:r w:rsidR="78E15112" w:rsidRPr="22BFCC0F">
        <w:t xml:space="preserve">Hardware </w:t>
      </w:r>
      <w:r w:rsidRPr="22BFCC0F">
        <w:t xml:space="preserve">in </w:t>
      </w:r>
      <w:r w:rsidR="22BFCC0F" w:rsidRPr="22BFCC0F">
        <w:t>Practice and Use</w:t>
      </w:r>
      <w:bookmarkEnd w:id="0"/>
    </w:p>
    <w:p w14:paraId="4357BB1A" w14:textId="78B07687" w:rsidR="1B77CF56" w:rsidRDefault="1B77CF56" w:rsidP="1B77CF56"/>
    <w:p w14:paraId="2656856D" w14:textId="4D0A1D74" w:rsidR="1B77CF56" w:rsidRPr="00955292" w:rsidRDefault="082E60E8" w:rsidP="1B77CF56">
      <w:pPr>
        <w:jc w:val="both"/>
        <w:rPr>
          <w:b/>
        </w:rPr>
      </w:pPr>
      <w:r w:rsidRPr="082E60E8">
        <w:rPr>
          <w:rFonts w:ascii="Calibri" w:eastAsia="Calibri" w:hAnsi="Calibri" w:cs="Calibri"/>
          <w:b/>
          <w:bCs/>
        </w:rPr>
        <w:t>Organizers</w:t>
      </w:r>
    </w:p>
    <w:p w14:paraId="55A6A234" w14:textId="19EE4590" w:rsidR="00955292" w:rsidRDefault="00415705" w:rsidP="00955292">
      <w:pPr>
        <w:spacing w:after="0"/>
        <w:jc w:val="both"/>
        <w:rPr>
          <w:rFonts w:ascii="Calibri" w:eastAsia="Calibri" w:hAnsi="Calibri" w:cs="Calibri"/>
        </w:rPr>
      </w:pPr>
      <w:r>
        <w:rPr>
          <w:rFonts w:ascii="Calibri" w:eastAsia="Calibri" w:hAnsi="Calibri" w:cs="Calibri"/>
        </w:rPr>
        <w:t xml:space="preserve">Craig M. Vineyard, PhD </w:t>
      </w:r>
    </w:p>
    <w:p w14:paraId="3FCB2CF9" w14:textId="3153C19E" w:rsidR="00955292" w:rsidRDefault="082E60E8" w:rsidP="00955292">
      <w:pPr>
        <w:spacing w:after="0"/>
        <w:jc w:val="both"/>
        <w:rPr>
          <w:rFonts w:ascii="Calibri" w:eastAsia="Calibri" w:hAnsi="Calibri" w:cs="Calibri"/>
        </w:rPr>
      </w:pPr>
      <w:r w:rsidRPr="082E60E8">
        <w:rPr>
          <w:rFonts w:ascii="Calibri" w:eastAsia="Calibri" w:hAnsi="Calibri" w:cs="Calibri"/>
        </w:rPr>
        <w:t>Sandia National Laboratories</w:t>
      </w:r>
      <w:r w:rsidR="00C35AEA">
        <w:rPr>
          <w:rFonts w:ascii="Calibri" w:eastAsia="Calibri" w:hAnsi="Calibri" w:cs="Calibri"/>
        </w:rPr>
        <w:t>*</w:t>
      </w:r>
      <w:r w:rsidRPr="082E60E8">
        <w:rPr>
          <w:rFonts w:ascii="Calibri" w:eastAsia="Calibri" w:hAnsi="Calibri" w:cs="Calibri"/>
        </w:rPr>
        <w:t xml:space="preserve"> </w:t>
      </w:r>
    </w:p>
    <w:p w14:paraId="06436C5D" w14:textId="7649BEFD" w:rsidR="00955292" w:rsidRDefault="00955292" w:rsidP="00955292">
      <w:pPr>
        <w:spacing w:after="0"/>
        <w:jc w:val="both"/>
        <w:rPr>
          <w:rFonts w:ascii="Calibri" w:eastAsia="Calibri" w:hAnsi="Calibri" w:cs="Calibri"/>
        </w:rPr>
      </w:pPr>
      <w:r w:rsidRPr="00AD4AE5">
        <w:rPr>
          <w:rFonts w:ascii="Calibri" w:eastAsia="Calibri" w:hAnsi="Calibri" w:cs="Calibri"/>
        </w:rPr>
        <w:t>cmviney@sandia.gov</w:t>
      </w:r>
    </w:p>
    <w:p w14:paraId="17D58826" w14:textId="25C47EBA" w:rsidR="00955292" w:rsidRDefault="00955292" w:rsidP="00955292">
      <w:pPr>
        <w:spacing w:after="0"/>
        <w:jc w:val="both"/>
        <w:rPr>
          <w:rFonts w:ascii="Calibri" w:eastAsia="Calibri" w:hAnsi="Calibri" w:cs="Calibri"/>
        </w:rPr>
      </w:pPr>
    </w:p>
    <w:p w14:paraId="7E3E62C9" w14:textId="3BBAAEBA" w:rsidR="00955292" w:rsidRDefault="082E60E8" w:rsidP="00955292">
      <w:pPr>
        <w:spacing w:after="0"/>
        <w:jc w:val="both"/>
        <w:rPr>
          <w:rFonts w:ascii="Calibri" w:eastAsia="Calibri" w:hAnsi="Calibri" w:cs="Calibri"/>
        </w:rPr>
      </w:pPr>
      <w:r w:rsidRPr="082E60E8">
        <w:rPr>
          <w:rFonts w:ascii="Calibri" w:eastAsia="Calibri" w:hAnsi="Calibri" w:cs="Calibri"/>
        </w:rPr>
        <w:t>William M. Severa, PhD</w:t>
      </w:r>
    </w:p>
    <w:p w14:paraId="03CDF46F" w14:textId="7537940D" w:rsidR="00955292" w:rsidRDefault="082E60E8" w:rsidP="00955292">
      <w:pPr>
        <w:spacing w:after="0"/>
        <w:jc w:val="both"/>
        <w:rPr>
          <w:rFonts w:ascii="Calibri" w:eastAsia="Calibri" w:hAnsi="Calibri" w:cs="Calibri"/>
        </w:rPr>
      </w:pPr>
      <w:r w:rsidRPr="082E60E8">
        <w:rPr>
          <w:rFonts w:ascii="Calibri" w:eastAsia="Calibri" w:hAnsi="Calibri" w:cs="Calibri"/>
        </w:rPr>
        <w:t>Sandia National Laboratories</w:t>
      </w:r>
      <w:r w:rsidR="00C35AEA">
        <w:rPr>
          <w:rFonts w:ascii="Calibri" w:eastAsia="Calibri" w:hAnsi="Calibri" w:cs="Calibri"/>
        </w:rPr>
        <w:t>*</w:t>
      </w:r>
      <w:r w:rsidRPr="082E60E8">
        <w:rPr>
          <w:rFonts w:ascii="Calibri" w:eastAsia="Calibri" w:hAnsi="Calibri" w:cs="Calibri"/>
        </w:rPr>
        <w:t xml:space="preserve"> </w:t>
      </w:r>
    </w:p>
    <w:p w14:paraId="24DB6727" w14:textId="0630F85C" w:rsidR="00955292" w:rsidRDefault="00955292" w:rsidP="00955292">
      <w:pPr>
        <w:spacing w:after="0"/>
        <w:jc w:val="both"/>
        <w:rPr>
          <w:rFonts w:ascii="Calibri" w:eastAsia="Calibri" w:hAnsi="Calibri" w:cs="Calibri"/>
        </w:rPr>
      </w:pPr>
      <w:r w:rsidRPr="00AD4AE5">
        <w:rPr>
          <w:rFonts w:ascii="Calibri" w:eastAsia="Calibri" w:hAnsi="Calibri" w:cs="Calibri"/>
        </w:rPr>
        <w:t>wmsever@sandia.gov</w:t>
      </w:r>
    </w:p>
    <w:p w14:paraId="65C86AAF" w14:textId="76985F36" w:rsidR="00955292" w:rsidRDefault="00955292" w:rsidP="00955292">
      <w:pPr>
        <w:spacing w:after="0"/>
        <w:jc w:val="both"/>
        <w:rPr>
          <w:rFonts w:ascii="Calibri" w:eastAsia="Calibri" w:hAnsi="Calibri" w:cs="Calibri"/>
        </w:rPr>
      </w:pPr>
    </w:p>
    <w:p w14:paraId="4E899114" w14:textId="5C45A842" w:rsidR="00955292" w:rsidRDefault="082E60E8" w:rsidP="00955292">
      <w:pPr>
        <w:spacing w:after="0"/>
        <w:jc w:val="both"/>
        <w:rPr>
          <w:rFonts w:ascii="Calibri" w:eastAsia="Calibri" w:hAnsi="Calibri" w:cs="Calibri"/>
        </w:rPr>
      </w:pPr>
      <w:r w:rsidRPr="082E60E8">
        <w:rPr>
          <w:rFonts w:ascii="Calibri" w:eastAsia="Calibri" w:hAnsi="Calibri" w:cs="Calibri"/>
        </w:rPr>
        <w:t>Kristofor D. Carlson, PhD</w:t>
      </w:r>
    </w:p>
    <w:p w14:paraId="5449FD1C" w14:textId="796B548E" w:rsidR="00955292" w:rsidRDefault="082E60E8" w:rsidP="00955292">
      <w:pPr>
        <w:spacing w:after="0"/>
        <w:jc w:val="both"/>
      </w:pPr>
      <w:proofErr w:type="spellStart"/>
      <w:r w:rsidRPr="082E60E8">
        <w:rPr>
          <w:rFonts w:ascii="Calibri" w:eastAsia="Calibri" w:hAnsi="Calibri" w:cs="Calibri"/>
        </w:rPr>
        <w:t>BrainChip</w:t>
      </w:r>
      <w:proofErr w:type="spellEnd"/>
      <w:r w:rsidRPr="082E60E8">
        <w:rPr>
          <w:rFonts w:ascii="Calibri" w:eastAsia="Calibri" w:hAnsi="Calibri" w:cs="Calibri"/>
        </w:rPr>
        <w:t xml:space="preserve"> Inc. </w:t>
      </w:r>
    </w:p>
    <w:p w14:paraId="58E1E888" w14:textId="6EBE1AD2" w:rsidR="1B77CF56" w:rsidRPr="00955292" w:rsidRDefault="00A80AAD" w:rsidP="003F094D">
      <w:pPr>
        <w:spacing w:after="0"/>
        <w:jc w:val="both"/>
      </w:pPr>
      <w:r>
        <w:rPr>
          <w:rFonts w:ascii="Calibri" w:eastAsia="Calibri" w:hAnsi="Calibri" w:cs="Calibri"/>
        </w:rPr>
        <w:t>kcarlson@brai</w:t>
      </w:r>
      <w:r w:rsidR="6F9B4FA4" w:rsidRPr="003F094D">
        <w:rPr>
          <w:rFonts w:ascii="Calibri" w:eastAsia="Calibri" w:hAnsi="Calibri" w:cs="Calibri"/>
        </w:rPr>
        <w:t>nchipinc.com</w:t>
      </w:r>
    </w:p>
    <w:p w14:paraId="0726870F" w14:textId="190643CA" w:rsidR="6F9B4FA4" w:rsidRDefault="6F9B4FA4" w:rsidP="003F094D">
      <w:pPr>
        <w:spacing w:after="0"/>
        <w:jc w:val="both"/>
      </w:pPr>
    </w:p>
    <w:p w14:paraId="4DB366AB" w14:textId="77777777" w:rsidR="008D1C29" w:rsidRDefault="008D1C29" w:rsidP="003F094D">
      <w:pPr>
        <w:spacing w:after="0"/>
        <w:jc w:val="both"/>
        <w:rPr>
          <w:b/>
        </w:rPr>
      </w:pPr>
      <w:r w:rsidRPr="008D1C29">
        <w:rPr>
          <w:b/>
        </w:rPr>
        <w:t>Website</w:t>
      </w:r>
    </w:p>
    <w:p w14:paraId="20636B82" w14:textId="76767FF1" w:rsidR="008D1C29" w:rsidRDefault="008D1C29" w:rsidP="003F094D">
      <w:pPr>
        <w:spacing w:after="0"/>
        <w:jc w:val="both"/>
      </w:pPr>
      <w:r w:rsidRPr="008D1C29">
        <w:t>http://neuroscience.sandia.gov/research/wcci2018.html</w:t>
      </w:r>
    </w:p>
    <w:p w14:paraId="6A664E43" w14:textId="77777777" w:rsidR="008D1C29" w:rsidRDefault="008D1C29" w:rsidP="003F094D">
      <w:pPr>
        <w:spacing w:after="0"/>
        <w:jc w:val="both"/>
      </w:pPr>
    </w:p>
    <w:p w14:paraId="5164F7F2" w14:textId="06E0E246" w:rsidR="1B77CF56" w:rsidRPr="00955292" w:rsidRDefault="082E60E8" w:rsidP="003F094D">
      <w:pPr>
        <w:spacing w:after="0"/>
        <w:jc w:val="both"/>
        <w:rPr>
          <w:b/>
        </w:rPr>
      </w:pPr>
      <w:r w:rsidRPr="082E60E8">
        <w:rPr>
          <w:rFonts w:ascii="Calibri" w:eastAsia="Calibri" w:hAnsi="Calibri" w:cs="Calibri"/>
          <w:b/>
          <w:bCs/>
        </w:rPr>
        <w:t xml:space="preserve">Description of the workshop </w:t>
      </w:r>
    </w:p>
    <w:p w14:paraId="152EA521" w14:textId="45480181" w:rsidR="5F7C4330" w:rsidRDefault="5F7C4330" w:rsidP="003F094D">
      <w:pPr>
        <w:spacing w:after="0"/>
        <w:jc w:val="both"/>
      </w:pPr>
      <w:r w:rsidRPr="003F094D">
        <w:rPr>
          <w:rFonts w:ascii="Calibri" w:eastAsia="Calibri" w:hAnsi="Calibri" w:cs="Calibri"/>
          <w:i/>
          <w:iCs/>
        </w:rPr>
        <w:t>Abstract</w:t>
      </w:r>
    </w:p>
    <w:p w14:paraId="4F76606C" w14:textId="287AF4F4" w:rsidR="434936D0" w:rsidRDefault="7DC59865" w:rsidP="003F094D">
      <w:pPr>
        <w:spacing w:after="0"/>
        <w:jc w:val="both"/>
      </w:pPr>
      <w:r w:rsidRPr="003F094D">
        <w:rPr>
          <w:rFonts w:ascii="Calibri" w:eastAsia="Calibri" w:hAnsi="Calibri" w:cs="Calibri"/>
        </w:rPr>
        <w:t>This workshop is designed to explore the current advances</w:t>
      </w:r>
      <w:r w:rsidR="5364B76F" w:rsidRPr="003F094D">
        <w:rPr>
          <w:rFonts w:ascii="Calibri" w:eastAsia="Calibri" w:hAnsi="Calibri" w:cs="Calibri"/>
        </w:rPr>
        <w:t xml:space="preserve">, challenges </w:t>
      </w:r>
      <w:r w:rsidRPr="003F094D">
        <w:rPr>
          <w:rFonts w:ascii="Calibri" w:eastAsia="Calibri" w:hAnsi="Calibri" w:cs="Calibri"/>
        </w:rPr>
        <w:t xml:space="preserve">and best practices </w:t>
      </w:r>
      <w:r w:rsidR="5364B76F" w:rsidRPr="003F094D">
        <w:rPr>
          <w:rFonts w:ascii="Calibri" w:eastAsia="Calibri" w:hAnsi="Calibri" w:cs="Calibri"/>
        </w:rPr>
        <w:t xml:space="preserve">for working with and implementing algorithms on neuromorphic hardware. </w:t>
      </w:r>
      <w:r w:rsidR="21CE66FC" w:rsidRPr="003F094D">
        <w:rPr>
          <w:rFonts w:ascii="Calibri" w:eastAsia="Calibri" w:hAnsi="Calibri" w:cs="Calibri"/>
        </w:rPr>
        <w:t>Despite g</w:t>
      </w:r>
      <w:r w:rsidR="476428FC" w:rsidRPr="003F094D">
        <w:rPr>
          <w:rFonts w:ascii="Calibri" w:eastAsia="Calibri" w:hAnsi="Calibri" w:cs="Calibri"/>
        </w:rPr>
        <w:t>rowing av</w:t>
      </w:r>
      <w:r w:rsidR="2AD58E01" w:rsidRPr="003F094D">
        <w:rPr>
          <w:rFonts w:ascii="Calibri" w:eastAsia="Calibri" w:hAnsi="Calibri" w:cs="Calibri"/>
        </w:rPr>
        <w:t xml:space="preserve">ailability of prominent biologically inspired architectures </w:t>
      </w:r>
      <w:r w:rsidR="434936D0" w:rsidRPr="003F094D">
        <w:rPr>
          <w:rFonts w:ascii="Calibri" w:eastAsia="Calibri" w:hAnsi="Calibri" w:cs="Calibri"/>
        </w:rPr>
        <w:t xml:space="preserve">and corresponding interest, practical guidelines </w:t>
      </w:r>
      <w:r w:rsidR="3D79E35E" w:rsidRPr="003F094D">
        <w:rPr>
          <w:rFonts w:ascii="Calibri" w:eastAsia="Calibri" w:hAnsi="Calibri" w:cs="Calibri"/>
        </w:rPr>
        <w:t>and</w:t>
      </w:r>
      <w:r w:rsidR="14D97E1E" w:rsidRPr="003F094D">
        <w:rPr>
          <w:rFonts w:ascii="Calibri" w:eastAsia="Calibri" w:hAnsi="Calibri" w:cs="Calibri"/>
        </w:rPr>
        <w:t xml:space="preserve"> </w:t>
      </w:r>
      <w:r w:rsidR="434936D0" w:rsidRPr="003F094D">
        <w:rPr>
          <w:rFonts w:ascii="Calibri" w:eastAsia="Calibri" w:hAnsi="Calibri" w:cs="Calibri"/>
        </w:rPr>
        <w:t xml:space="preserve">results </w:t>
      </w:r>
      <w:r w:rsidR="14D97E1E" w:rsidRPr="003F094D">
        <w:rPr>
          <w:rFonts w:ascii="Calibri" w:eastAsia="Calibri" w:hAnsi="Calibri" w:cs="Calibri"/>
        </w:rPr>
        <w:t>are scattered and disparate</w:t>
      </w:r>
      <w:r w:rsidR="434936D0" w:rsidRPr="003F094D">
        <w:rPr>
          <w:rFonts w:ascii="Calibri" w:eastAsia="Calibri" w:hAnsi="Calibri" w:cs="Calibri"/>
        </w:rPr>
        <w:t xml:space="preserve">.  This leads to </w:t>
      </w:r>
      <w:r w:rsidR="3D79E35E" w:rsidRPr="003F094D">
        <w:rPr>
          <w:rFonts w:ascii="Calibri" w:eastAsia="Calibri" w:hAnsi="Calibri" w:cs="Calibri"/>
        </w:rPr>
        <w:t xml:space="preserve">wasted repeated effort and poor exposure of state-of-the-art results.  </w:t>
      </w:r>
      <w:r w:rsidR="6AE4D01C" w:rsidRPr="003F094D">
        <w:rPr>
          <w:rFonts w:ascii="Calibri" w:eastAsia="Calibri" w:hAnsi="Calibri" w:cs="Calibri"/>
        </w:rPr>
        <w:t xml:space="preserve">We </w:t>
      </w:r>
      <w:r w:rsidR="2BC09925" w:rsidRPr="003F094D">
        <w:rPr>
          <w:rFonts w:ascii="Calibri" w:eastAsia="Calibri" w:hAnsi="Calibri" w:cs="Calibri"/>
        </w:rPr>
        <w:t>co</w:t>
      </w:r>
      <w:r w:rsidR="115EACD5" w:rsidRPr="003F094D">
        <w:rPr>
          <w:rFonts w:ascii="Calibri" w:eastAsia="Calibri" w:hAnsi="Calibri" w:cs="Calibri"/>
        </w:rPr>
        <w:t xml:space="preserve">llect cutting edge results </w:t>
      </w:r>
      <w:r w:rsidR="0B9F3374" w:rsidRPr="003F094D">
        <w:rPr>
          <w:rFonts w:ascii="Calibri" w:eastAsia="Calibri" w:hAnsi="Calibri" w:cs="Calibri"/>
        </w:rPr>
        <w:t xml:space="preserve">from </w:t>
      </w:r>
      <w:r w:rsidR="115EACD5" w:rsidRPr="003F094D">
        <w:rPr>
          <w:rFonts w:ascii="Calibri" w:eastAsia="Calibri" w:hAnsi="Calibri" w:cs="Calibri"/>
        </w:rPr>
        <w:t xml:space="preserve">a variety of application spaces </w:t>
      </w:r>
      <w:r w:rsidR="0B9F3374" w:rsidRPr="003F094D">
        <w:rPr>
          <w:rFonts w:ascii="Calibri" w:eastAsia="Calibri" w:hAnsi="Calibri" w:cs="Calibri"/>
        </w:rPr>
        <w:t xml:space="preserve">providing both an </w:t>
      </w:r>
      <w:r w:rsidR="3C29C787" w:rsidRPr="003F094D">
        <w:rPr>
          <w:rFonts w:ascii="Calibri" w:eastAsia="Calibri" w:hAnsi="Calibri" w:cs="Calibri"/>
        </w:rPr>
        <w:t>up-to-date, in-</w:t>
      </w:r>
      <w:r w:rsidR="15CED4A8" w:rsidRPr="003F094D">
        <w:rPr>
          <w:rFonts w:ascii="Calibri" w:eastAsia="Calibri" w:hAnsi="Calibri" w:cs="Calibri"/>
        </w:rPr>
        <w:t xml:space="preserve">depth discussion for domain experts as well as an accessible starting point for newcomers. </w:t>
      </w:r>
    </w:p>
    <w:p w14:paraId="205FF84F" w14:textId="77777777" w:rsidR="00BA6F9D" w:rsidRDefault="00BA6F9D" w:rsidP="003F094D">
      <w:pPr>
        <w:spacing w:after="0"/>
        <w:jc w:val="both"/>
        <w:rPr>
          <w:rFonts w:ascii="Calibri" w:eastAsia="Calibri" w:hAnsi="Calibri" w:cs="Calibri"/>
          <w:i/>
          <w:iCs/>
        </w:rPr>
      </w:pPr>
    </w:p>
    <w:p w14:paraId="02E71BF3" w14:textId="455DE8B7" w:rsidR="5F7C4330" w:rsidRDefault="00753CC8" w:rsidP="003F094D">
      <w:pPr>
        <w:spacing w:after="0"/>
        <w:jc w:val="both"/>
        <w:rPr>
          <w:rFonts w:ascii="Calibri" w:eastAsia="Calibri" w:hAnsi="Calibri" w:cs="Calibri"/>
          <w:i/>
          <w:iCs/>
        </w:rPr>
      </w:pPr>
      <w:r w:rsidRPr="5B381C3A">
        <w:rPr>
          <w:rFonts w:ascii="Calibri" w:eastAsia="Calibri" w:hAnsi="Calibri" w:cs="Calibri"/>
          <w:i/>
          <w:iCs/>
        </w:rPr>
        <w:t xml:space="preserve">Goals &amp; </w:t>
      </w:r>
      <w:r w:rsidR="5F7C4330" w:rsidRPr="003F094D">
        <w:rPr>
          <w:rFonts w:ascii="Calibri" w:eastAsia="Calibri" w:hAnsi="Calibri" w:cs="Calibri"/>
          <w:i/>
          <w:iCs/>
        </w:rPr>
        <w:t>Objectives</w:t>
      </w:r>
    </w:p>
    <w:p w14:paraId="1ABD4E13" w14:textId="5C74A8FF" w:rsidR="00753CC8" w:rsidRPr="00D0174A" w:rsidRDefault="679B74B2" w:rsidP="00753CC8">
      <w:pPr>
        <w:spacing w:after="0"/>
        <w:jc w:val="both"/>
      </w:pPr>
      <w:r w:rsidRPr="00D0174A">
        <w:t>This workshop strives to b</w:t>
      </w:r>
      <w:r w:rsidR="00753CC8" w:rsidRPr="00D0174A">
        <w:t xml:space="preserve">ring together algorithm and architecture </w:t>
      </w:r>
      <w:r w:rsidR="61A7D1FC" w:rsidRPr="00D0174A">
        <w:t xml:space="preserve">researchers </w:t>
      </w:r>
      <w:r w:rsidR="00753CC8">
        <w:t xml:space="preserve">and help facilitate how challenges each face can be overcome for mutual benefit. </w:t>
      </w:r>
      <w:proofErr w:type="gramStart"/>
      <w:r w:rsidR="00753CC8" w:rsidRPr="365C6CC8">
        <w:t>In particular, by</w:t>
      </w:r>
      <w:proofErr w:type="gramEnd"/>
      <w:r w:rsidR="00753CC8" w:rsidRPr="365C6CC8">
        <w:t xml:space="preserve"> </w:t>
      </w:r>
      <w:r w:rsidR="1B7A0C41" w:rsidRPr="365C6CC8">
        <w:t xml:space="preserve">focusing on </w:t>
      </w:r>
      <w:r w:rsidR="00753CC8" w:rsidRPr="365C6CC8">
        <w:t>neuromorphic hardware practice and use,</w:t>
      </w:r>
      <w:r w:rsidR="1E6FA2D6" w:rsidRPr="1B7A0C41">
        <w:t xml:space="preserve"> </w:t>
      </w:r>
      <w:r w:rsidR="0D692FC1" w:rsidRPr="365C6CC8">
        <w:t xml:space="preserve">an emphasis on understanding the strengths and weaknesses of </w:t>
      </w:r>
      <w:r w:rsidR="2CA0866D" w:rsidRPr="365C6CC8">
        <w:t>these</w:t>
      </w:r>
      <w:r w:rsidR="2CA0866D" w:rsidRPr="1B7A0C41">
        <w:t xml:space="preserve"> </w:t>
      </w:r>
      <w:r w:rsidR="2CA0866D" w:rsidRPr="365C6CC8">
        <w:t xml:space="preserve">emerging approaches can help to identify and convey </w:t>
      </w:r>
      <w:r w:rsidR="25F2741D" w:rsidRPr="365C6CC8">
        <w:t>t</w:t>
      </w:r>
      <w:r w:rsidR="553608CF" w:rsidRPr="365C6CC8">
        <w:t>he</w:t>
      </w:r>
      <w:r w:rsidR="553608CF" w:rsidRPr="1B7A0C41">
        <w:t xml:space="preserve"> </w:t>
      </w:r>
      <w:r w:rsidR="553608CF" w:rsidRPr="365C6CC8">
        <w:t>significance of research developments</w:t>
      </w:r>
      <w:r w:rsidR="2CA0866D" w:rsidRPr="1B7A0C41">
        <w:t>.</w:t>
      </w:r>
      <w:r w:rsidR="5141EE02" w:rsidRPr="1B7A0C41">
        <w:t xml:space="preserve"> </w:t>
      </w:r>
      <w:r w:rsidR="5141EE02">
        <w:t xml:space="preserve">This overarching goal is intended to be addressed by the following workshop objectives: </w:t>
      </w:r>
    </w:p>
    <w:p w14:paraId="4CF96652" w14:textId="1C8C2363" w:rsidR="5141EE02" w:rsidRDefault="5141EE02" w:rsidP="003F094D">
      <w:pPr>
        <w:spacing w:after="0"/>
        <w:jc w:val="both"/>
      </w:pPr>
    </w:p>
    <w:p w14:paraId="408531FA" w14:textId="7CC18A7E" w:rsidR="5F7C4330" w:rsidRDefault="6D1B648B" w:rsidP="003F094D">
      <w:pPr>
        <w:spacing w:after="0"/>
        <w:jc w:val="both"/>
      </w:pPr>
      <w:r w:rsidRPr="003F094D">
        <w:rPr>
          <w:rFonts w:ascii="Calibri" w:eastAsia="Calibri" w:hAnsi="Calibri" w:cs="Calibri"/>
        </w:rPr>
        <w:t xml:space="preserve">1) Explore </w:t>
      </w:r>
      <w:r w:rsidR="7E2C3BB4" w:rsidRPr="003F094D">
        <w:rPr>
          <w:rFonts w:ascii="Calibri" w:eastAsia="Calibri" w:hAnsi="Calibri" w:cs="Calibri"/>
        </w:rPr>
        <w:t xml:space="preserve">implemented or otherwise real-world usage </w:t>
      </w:r>
      <w:r w:rsidR="2157AD2E" w:rsidRPr="003F094D">
        <w:rPr>
          <w:rFonts w:ascii="Calibri" w:eastAsia="Calibri" w:hAnsi="Calibri" w:cs="Calibri"/>
        </w:rPr>
        <w:t>of neu</w:t>
      </w:r>
      <w:r w:rsidR="721B08E7" w:rsidRPr="003F094D">
        <w:rPr>
          <w:rFonts w:ascii="Calibri" w:eastAsia="Calibri" w:hAnsi="Calibri" w:cs="Calibri"/>
        </w:rPr>
        <w:t>romor</w:t>
      </w:r>
      <w:r w:rsidR="2157AD2E" w:rsidRPr="003F094D">
        <w:rPr>
          <w:rFonts w:ascii="Calibri" w:eastAsia="Calibri" w:hAnsi="Calibri" w:cs="Calibri"/>
        </w:rPr>
        <w:t>phic hardware platforms</w:t>
      </w:r>
    </w:p>
    <w:p w14:paraId="44E8191D" w14:textId="7058B2B6" w:rsidR="2157AD2E" w:rsidRDefault="2157AD2E" w:rsidP="003F094D">
      <w:pPr>
        <w:spacing w:after="0"/>
        <w:jc w:val="both"/>
      </w:pPr>
      <w:r w:rsidRPr="003F094D">
        <w:rPr>
          <w:rFonts w:ascii="Calibri" w:eastAsia="Calibri" w:hAnsi="Calibri" w:cs="Calibri"/>
        </w:rPr>
        <w:t>2) Help develop 'best practices'</w:t>
      </w:r>
      <w:r w:rsidR="06A6B15A" w:rsidRPr="003F094D">
        <w:rPr>
          <w:rFonts w:ascii="Calibri" w:eastAsia="Calibri" w:hAnsi="Calibri" w:cs="Calibri"/>
        </w:rPr>
        <w:t xml:space="preserve"> fo</w:t>
      </w:r>
      <w:r w:rsidR="25C7D501" w:rsidRPr="003F094D">
        <w:rPr>
          <w:rFonts w:ascii="Calibri" w:eastAsia="Calibri" w:hAnsi="Calibri" w:cs="Calibri"/>
        </w:rPr>
        <w:t>r developing neuromorphic-ready algorithms and software</w:t>
      </w:r>
    </w:p>
    <w:p w14:paraId="7A10C542" w14:textId="607A7F4A" w:rsidR="25C7D501" w:rsidRDefault="25C7D501" w:rsidP="003F094D">
      <w:pPr>
        <w:spacing w:after="0"/>
        <w:jc w:val="both"/>
      </w:pPr>
      <w:r w:rsidRPr="003F094D">
        <w:rPr>
          <w:rFonts w:ascii="Calibri" w:eastAsia="Calibri" w:hAnsi="Calibri" w:cs="Calibri"/>
        </w:rPr>
        <w:t xml:space="preserve">3) Bridge the gap between </w:t>
      </w:r>
      <w:r w:rsidR="07A5EDA8" w:rsidRPr="003F094D">
        <w:rPr>
          <w:rFonts w:ascii="Calibri" w:eastAsia="Calibri" w:hAnsi="Calibri" w:cs="Calibri"/>
        </w:rPr>
        <w:t>har</w:t>
      </w:r>
      <w:r w:rsidR="094F9EE1" w:rsidRPr="003F094D">
        <w:rPr>
          <w:rFonts w:ascii="Calibri" w:eastAsia="Calibri" w:hAnsi="Calibri" w:cs="Calibri"/>
        </w:rPr>
        <w:t>dware design and theoretical algorithms</w:t>
      </w:r>
    </w:p>
    <w:p w14:paraId="29E269C5" w14:textId="1EA958B0" w:rsidR="00BA6F9D" w:rsidRDefault="00BA6F9D" w:rsidP="003F094D">
      <w:pPr>
        <w:jc w:val="both"/>
        <w:rPr>
          <w:rFonts w:ascii="Calibri" w:eastAsia="Calibri" w:hAnsi="Calibri" w:cs="Calibri"/>
          <w:i/>
          <w:iCs/>
        </w:rPr>
      </w:pPr>
      <w:r w:rsidRPr="008D43E3">
        <w:rPr>
          <w:rFonts w:ascii="Calibri" w:eastAsia="Calibri" w:hAnsi="Calibri" w:cs="Calibri"/>
        </w:rPr>
        <w:t>4)</w:t>
      </w:r>
      <w:r w:rsidR="6D3D0F6A" w:rsidRPr="008D43E3">
        <w:rPr>
          <w:rFonts w:ascii="Calibri" w:eastAsia="Calibri" w:hAnsi="Calibri" w:cs="Calibri"/>
        </w:rPr>
        <w:t xml:space="preserve"> </w:t>
      </w:r>
      <w:r w:rsidRPr="008D43E3">
        <w:rPr>
          <w:rFonts w:ascii="Calibri" w:eastAsia="Calibri" w:hAnsi="Calibri" w:cs="Calibri"/>
        </w:rPr>
        <w:t xml:space="preserve">Begin to establish formal benchmarks to understand the significance </w:t>
      </w:r>
      <w:r w:rsidRPr="00B934F9">
        <w:rPr>
          <w:rFonts w:ascii="Calibri" w:eastAsia="Calibri" w:hAnsi="Calibri" w:cs="Calibri"/>
        </w:rPr>
        <w:t>and impact of neuromorphic architectures</w:t>
      </w:r>
    </w:p>
    <w:p w14:paraId="7246CF6C" w14:textId="4F56F151" w:rsidR="476428FC" w:rsidRDefault="476428FC" w:rsidP="003F094D">
      <w:pPr>
        <w:spacing w:after="0"/>
        <w:jc w:val="both"/>
        <w:rPr>
          <w:rFonts w:ascii="Calibri" w:eastAsia="Calibri" w:hAnsi="Calibri" w:cs="Calibri"/>
          <w:i/>
          <w:iCs/>
        </w:rPr>
      </w:pPr>
      <w:r w:rsidRPr="003F094D">
        <w:rPr>
          <w:rFonts w:ascii="Calibri" w:eastAsia="Calibri" w:hAnsi="Calibri" w:cs="Calibri"/>
          <w:i/>
          <w:iCs/>
        </w:rPr>
        <w:t>Relevance to IEEE WCCI</w:t>
      </w:r>
    </w:p>
    <w:p w14:paraId="416A20D4" w14:textId="77777777" w:rsidR="008D1C29" w:rsidRDefault="003A78FA" w:rsidP="008D1C29">
      <w:pPr>
        <w:spacing w:after="0"/>
        <w:jc w:val="both"/>
      </w:pPr>
      <w:r>
        <w:t xml:space="preserve">IJCNN covers a wide range of topics in the field of neural networks and neural computation. </w:t>
      </w:r>
      <w:r w:rsidR="557A039F">
        <w:t>In recent years, these topics have expanded to include biologically inspired hard</w:t>
      </w:r>
      <w:r>
        <w:t xml:space="preserve">ware implementation research as </w:t>
      </w:r>
      <w:r>
        <w:lastRenderedPageBreak/>
        <w:t xml:space="preserve">well. The rapidly evolving need for hardware accelerators to enable the </w:t>
      </w:r>
      <w:r w:rsidR="557A039F">
        <w:t xml:space="preserve">algorithmic and theoretical advances </w:t>
      </w:r>
      <w:r>
        <w:t xml:space="preserve">being made by WCCI attendees and participants also necessitates an understanding of </w:t>
      </w:r>
      <w:r w:rsidR="00557EB1">
        <w:t>how the interplay of algorithms and architectures in the form of neuromorphic</w:t>
      </w:r>
      <w:r w:rsidR="00557EB1" w:rsidRPr="557A039F">
        <w:t xml:space="preserve"> </w:t>
      </w:r>
      <w:r w:rsidR="00557EB1">
        <w:t xml:space="preserve">computation is advantageous. </w:t>
      </w:r>
      <w:r w:rsidR="13DCF939">
        <w:t>A</w:t>
      </w:r>
      <w:r w:rsidR="456CF0B8" w:rsidRPr="557A039F">
        <w:t xml:space="preserve"> </w:t>
      </w:r>
      <w:r w:rsidR="456CF0B8">
        <w:t xml:space="preserve">better understanding of the algorithm and architecture interplay </w:t>
      </w:r>
      <w:r w:rsidR="59FEF21E">
        <w:t xml:space="preserve">also allows for </w:t>
      </w:r>
      <w:r w:rsidR="603A7885">
        <w:t>the</w:t>
      </w:r>
      <w:r w:rsidR="603A7885" w:rsidRPr="557A039F">
        <w:t xml:space="preserve"> </w:t>
      </w:r>
      <w:r w:rsidR="603A7885">
        <w:t>development of mea</w:t>
      </w:r>
      <w:r w:rsidR="0482EBCE">
        <w:t>n</w:t>
      </w:r>
      <w:r w:rsidR="603A7885">
        <w:t>ingful</w:t>
      </w:r>
      <w:r w:rsidR="603A7885" w:rsidRPr="557A039F">
        <w:t xml:space="preserve"> </w:t>
      </w:r>
      <w:r w:rsidR="603A7885">
        <w:t>bench</w:t>
      </w:r>
      <w:r w:rsidR="37E0A863">
        <w:t>mark</w:t>
      </w:r>
      <w:r w:rsidR="23C72733">
        <w:t>ing</w:t>
      </w:r>
      <w:r w:rsidR="37E0A863">
        <w:t xml:space="preserve"> which can </w:t>
      </w:r>
      <w:r w:rsidR="75F8F124">
        <w:t>fu</w:t>
      </w:r>
      <w:r w:rsidR="00D69414">
        <w:t>rther</w:t>
      </w:r>
      <w:r w:rsidR="00D69414" w:rsidRPr="557A039F">
        <w:t xml:space="preserve"> </w:t>
      </w:r>
      <w:r w:rsidR="00D69414">
        <w:t>highlight the signifi</w:t>
      </w:r>
      <w:r w:rsidR="0A7DA92B">
        <w:t>c</w:t>
      </w:r>
      <w:r w:rsidR="00D69414">
        <w:t xml:space="preserve">ance of research advances. </w:t>
      </w:r>
    </w:p>
    <w:p w14:paraId="32200E55" w14:textId="77777777" w:rsidR="008D1C29" w:rsidRDefault="008D1C29" w:rsidP="008D1C29">
      <w:pPr>
        <w:spacing w:after="0"/>
        <w:jc w:val="both"/>
      </w:pPr>
    </w:p>
    <w:p w14:paraId="643451B0" w14:textId="1F7A4E71" w:rsidR="008D1C29" w:rsidRDefault="008D1C29" w:rsidP="008D1C29">
      <w:pPr>
        <w:spacing w:after="0"/>
        <w:jc w:val="both"/>
      </w:pPr>
      <w:r>
        <w:t>We expect three primary groups to comprise the audience.</w:t>
      </w:r>
    </w:p>
    <w:p w14:paraId="462ECBF1" w14:textId="77777777" w:rsidR="008D1C29" w:rsidRPr="003F094D" w:rsidRDefault="008D1C29" w:rsidP="008D1C29">
      <w:pPr>
        <w:pStyle w:val="ListParagraph"/>
        <w:numPr>
          <w:ilvl w:val="0"/>
          <w:numId w:val="2"/>
        </w:numPr>
        <w:jc w:val="both"/>
        <w:rPr>
          <w:b/>
          <w:bCs/>
        </w:rPr>
      </w:pPr>
      <w:r w:rsidRPr="003F094D">
        <w:rPr>
          <w:b/>
          <w:bCs/>
        </w:rPr>
        <w:t>Neuromorphic Hardware Experts</w:t>
      </w:r>
      <w:r w:rsidRPr="00AB1AFD">
        <w:rPr>
          <w:b/>
          <w:bCs/>
        </w:rPr>
        <w:t>:</w:t>
      </w:r>
      <w:r>
        <w:t xml:space="preserve"> Recently a new field of neuromorphic platforms has become available, either at prototype or release stages.  These platforms originate from a variety of groups within industry, academia and government.  Hardware designers and platform stakeholders </w:t>
      </w:r>
      <w:proofErr w:type="gramStart"/>
      <w:r>
        <w:t>have  a</w:t>
      </w:r>
      <w:proofErr w:type="gramEnd"/>
      <w:r>
        <w:t xml:space="preserve"> keen interest in early adoption, algorithms and applications as well as comparative and case studies.</w:t>
      </w:r>
    </w:p>
    <w:p w14:paraId="0C52B1D3" w14:textId="77777777" w:rsidR="008D1C29" w:rsidRPr="003F094D" w:rsidRDefault="008D1C29" w:rsidP="008D1C29">
      <w:pPr>
        <w:pStyle w:val="ListParagraph"/>
        <w:numPr>
          <w:ilvl w:val="0"/>
          <w:numId w:val="2"/>
        </w:numPr>
        <w:jc w:val="both"/>
        <w:rPr>
          <w:b/>
          <w:bCs/>
        </w:rPr>
      </w:pPr>
      <w:r w:rsidRPr="00AB1AFD">
        <w:rPr>
          <w:b/>
          <w:bCs/>
        </w:rPr>
        <w:t xml:space="preserve">Spiking Neural Network Algorithm Designers: </w:t>
      </w:r>
      <w:r>
        <w:t xml:space="preserve">As is evidenced by the growing presence of spiking neural networks at conferences such as IJCNN, biologically inspired spiking neural networks offer new and expanding capabilities.  However, these algorithms are rarely designed following </w:t>
      </w:r>
      <w:proofErr w:type="gramStart"/>
      <w:r>
        <w:t>particular hardware</w:t>
      </w:r>
      <w:proofErr w:type="gramEnd"/>
      <w:r>
        <w:t xml:space="preserve"> constraints, and this creates a challenge when implementing the algorithms in practice.  By expounding on neuromorphic implementations of spiking networks, algorithm designers stand to expand both utility and practicality. </w:t>
      </w:r>
    </w:p>
    <w:p w14:paraId="5B7C93E3" w14:textId="77777777" w:rsidR="008D1C29" w:rsidRPr="003F094D" w:rsidRDefault="008D1C29" w:rsidP="008D1C29">
      <w:pPr>
        <w:pStyle w:val="ListParagraph"/>
        <w:numPr>
          <w:ilvl w:val="0"/>
          <w:numId w:val="2"/>
        </w:numPr>
        <w:jc w:val="both"/>
        <w:rPr>
          <w:b/>
          <w:bCs/>
        </w:rPr>
      </w:pPr>
      <w:r w:rsidRPr="00AB1AFD">
        <w:rPr>
          <w:b/>
          <w:bCs/>
        </w:rPr>
        <w:t xml:space="preserve">Low-Power and Embedded Application Spaces: </w:t>
      </w:r>
      <w:r>
        <w:t>Neuromorphic platforms offer compelling improvements in performance-per-Watt.  However, these numbers are often vendor-supplied and rarely include difficulties involved with algorithm porting.  This workshop will offer a true-to-life story of the process, benefits and pitfalls of using neural networks on these up-and-coming platforms.</w:t>
      </w:r>
    </w:p>
    <w:p w14:paraId="0995A9FA" w14:textId="24D98923" w:rsidR="008D1C29" w:rsidRDefault="008D1C29" w:rsidP="0039612A">
      <w:pPr>
        <w:spacing w:after="0"/>
        <w:jc w:val="both"/>
        <w:rPr>
          <w:rFonts w:ascii="Calibri" w:eastAsia="Calibri" w:hAnsi="Calibri" w:cs="Calibri"/>
          <w:b/>
          <w:bCs/>
        </w:rPr>
      </w:pPr>
      <w:r>
        <w:rPr>
          <w:rFonts w:ascii="Calibri" w:eastAsia="Calibri" w:hAnsi="Calibri" w:cs="Calibri"/>
          <w:b/>
          <w:bCs/>
        </w:rPr>
        <w:t xml:space="preserve">Scope and Topics: </w:t>
      </w:r>
    </w:p>
    <w:p w14:paraId="486EBDC9" w14:textId="7CC3AFFB" w:rsidR="008D1C29" w:rsidRPr="0039612A" w:rsidRDefault="0039612A" w:rsidP="0039612A">
      <w:pPr>
        <w:spacing w:after="0"/>
        <w:jc w:val="both"/>
        <w:rPr>
          <w:rFonts w:ascii="Calibri" w:eastAsia="Calibri" w:hAnsi="Calibri" w:cs="Calibri"/>
          <w:bCs/>
        </w:rPr>
      </w:pPr>
      <w:r>
        <w:rPr>
          <w:rFonts w:ascii="Calibri" w:eastAsia="Calibri" w:hAnsi="Calibri" w:cs="Calibri"/>
          <w:bCs/>
        </w:rPr>
        <w:t>Neuromorphic hardware; benchmarks and comparisons; applications, software, and toolkits; algorithms; workflows and integration</w:t>
      </w:r>
    </w:p>
    <w:p w14:paraId="0B7D9525" w14:textId="77777777" w:rsidR="008D1C29" w:rsidRDefault="008D1C29" w:rsidP="1B77CF56">
      <w:pPr>
        <w:jc w:val="both"/>
        <w:rPr>
          <w:rFonts w:ascii="Calibri" w:eastAsia="Calibri" w:hAnsi="Calibri" w:cs="Calibri"/>
          <w:b/>
          <w:bCs/>
        </w:rPr>
      </w:pPr>
    </w:p>
    <w:p w14:paraId="3082AE62" w14:textId="4DA69A63" w:rsidR="1B77CF56" w:rsidRPr="00955292" w:rsidRDefault="082E60E8" w:rsidP="1B77CF56">
      <w:pPr>
        <w:jc w:val="both"/>
        <w:rPr>
          <w:b/>
        </w:rPr>
      </w:pPr>
      <w:r w:rsidRPr="082E60E8">
        <w:rPr>
          <w:rFonts w:ascii="Calibri" w:eastAsia="Calibri" w:hAnsi="Calibri" w:cs="Calibri"/>
          <w:b/>
          <w:bCs/>
        </w:rPr>
        <w:t>Workshop duration, format, activities, and schedule</w:t>
      </w:r>
    </w:p>
    <w:p w14:paraId="3575D4A6" w14:textId="3A53F67F" w:rsidR="56521E9C" w:rsidRDefault="56521E9C" w:rsidP="003F094D">
      <w:pPr>
        <w:jc w:val="both"/>
      </w:pPr>
      <w:r w:rsidRPr="003F094D">
        <w:rPr>
          <w:rFonts w:ascii="Calibri" w:eastAsia="Calibri" w:hAnsi="Calibri" w:cs="Calibri"/>
        </w:rPr>
        <w:t xml:space="preserve">This </w:t>
      </w:r>
      <w:r w:rsidR="5AC2466F" w:rsidRPr="003F094D">
        <w:rPr>
          <w:rFonts w:ascii="Calibri" w:eastAsia="Calibri" w:hAnsi="Calibri" w:cs="Calibri"/>
        </w:rPr>
        <w:t>half day</w:t>
      </w:r>
      <w:r w:rsidRPr="003F094D">
        <w:rPr>
          <w:rFonts w:ascii="Calibri" w:eastAsia="Calibri" w:hAnsi="Calibri" w:cs="Calibri"/>
        </w:rPr>
        <w:t xml:space="preserve"> workshop will consist of a brief overview of the various approaches to neuromorphic computation and motivate the need for applied results and benchmarks to properly characterize the significance of such approaches. Following the introduction will be a series of talks interleaving invited keynote speakers and </w:t>
      </w:r>
      <w:r w:rsidR="5E4EB831" w:rsidRPr="003F094D">
        <w:rPr>
          <w:rFonts w:ascii="Calibri" w:eastAsia="Calibri" w:hAnsi="Calibri" w:cs="Calibri"/>
        </w:rPr>
        <w:t>contributed talks</w:t>
      </w:r>
      <w:r w:rsidRPr="003F094D">
        <w:rPr>
          <w:rFonts w:ascii="Calibri" w:eastAsia="Calibri" w:hAnsi="Calibri" w:cs="Calibri"/>
        </w:rPr>
        <w:t xml:space="preserve">. A poster and demonstration session will conclude the session while encouraging discussion amongst the participants.                                   </w:t>
      </w:r>
    </w:p>
    <w:tbl>
      <w:tblPr>
        <w:tblStyle w:val="PlainTable1"/>
        <w:tblW w:w="0" w:type="auto"/>
        <w:tblLook w:val="04A0" w:firstRow="1" w:lastRow="0" w:firstColumn="1" w:lastColumn="0" w:noHBand="0" w:noVBand="1"/>
      </w:tblPr>
      <w:tblGrid>
        <w:gridCol w:w="4674"/>
        <w:gridCol w:w="4676"/>
      </w:tblGrid>
      <w:tr w:rsidR="56521E9C" w14:paraId="2244C4A8" w14:textId="77777777" w:rsidTr="00C35A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7B740331" w14:textId="7CDBB678" w:rsidR="56521E9C" w:rsidRPr="003F094D" w:rsidRDefault="56521E9C" w:rsidP="003F094D">
            <w:pPr>
              <w:jc w:val="both"/>
              <w:rPr>
                <w:b w:val="0"/>
              </w:rPr>
            </w:pPr>
            <w:r w:rsidRPr="003F094D">
              <w:rPr>
                <w:b w:val="0"/>
              </w:rPr>
              <w:t>13:00 - 13:20</w:t>
            </w:r>
          </w:p>
        </w:tc>
        <w:tc>
          <w:tcPr>
            <w:tcW w:w="4676" w:type="dxa"/>
          </w:tcPr>
          <w:p w14:paraId="0C2EBE45" w14:textId="7E071961" w:rsidR="56521E9C" w:rsidRPr="003F094D" w:rsidRDefault="56521E9C" w:rsidP="003F094D">
            <w:pPr>
              <w:jc w:val="both"/>
              <w:cnfStyle w:val="100000000000" w:firstRow="1" w:lastRow="0" w:firstColumn="0" w:lastColumn="0" w:oddVBand="0" w:evenVBand="0" w:oddHBand="0" w:evenHBand="0" w:firstRowFirstColumn="0" w:firstRowLastColumn="0" w:lastRowFirstColumn="0" w:lastRowLastColumn="0"/>
              <w:rPr>
                <w:b w:val="0"/>
              </w:rPr>
            </w:pPr>
            <w:r w:rsidRPr="003F094D">
              <w:rPr>
                <w:b w:val="0"/>
              </w:rPr>
              <w:t>Welcome and Opening Overview Talk</w:t>
            </w:r>
          </w:p>
        </w:tc>
      </w:tr>
      <w:tr w:rsidR="56521E9C" w14:paraId="304756D0" w14:textId="77777777" w:rsidTr="00C35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264365C7" w14:textId="0BC8B607" w:rsidR="56521E9C" w:rsidRPr="003F094D" w:rsidRDefault="56521E9C" w:rsidP="003F094D">
            <w:pPr>
              <w:jc w:val="both"/>
              <w:rPr>
                <w:b w:val="0"/>
              </w:rPr>
            </w:pPr>
            <w:r w:rsidRPr="003F094D">
              <w:rPr>
                <w:b w:val="0"/>
              </w:rPr>
              <w:t xml:space="preserve">13:20 – 13:50        </w:t>
            </w:r>
          </w:p>
        </w:tc>
        <w:tc>
          <w:tcPr>
            <w:tcW w:w="4676" w:type="dxa"/>
          </w:tcPr>
          <w:p w14:paraId="4D78647D" w14:textId="420DD849" w:rsidR="56521E9C" w:rsidRDefault="56521E9C" w:rsidP="003F094D">
            <w:pPr>
              <w:jc w:val="both"/>
              <w:cnfStyle w:val="000000100000" w:firstRow="0" w:lastRow="0" w:firstColumn="0" w:lastColumn="0" w:oddVBand="0" w:evenVBand="0" w:oddHBand="1" w:evenHBand="0" w:firstRowFirstColumn="0" w:firstRowLastColumn="0" w:lastRowFirstColumn="0" w:lastRowLastColumn="0"/>
            </w:pPr>
            <w:r>
              <w:t xml:space="preserve">Invited Talk </w:t>
            </w:r>
          </w:p>
        </w:tc>
      </w:tr>
      <w:tr w:rsidR="56521E9C" w14:paraId="3AC8C2B5" w14:textId="77777777" w:rsidTr="00C35AEA">
        <w:tc>
          <w:tcPr>
            <w:cnfStyle w:val="001000000000" w:firstRow="0" w:lastRow="0" w:firstColumn="1" w:lastColumn="0" w:oddVBand="0" w:evenVBand="0" w:oddHBand="0" w:evenHBand="0" w:firstRowFirstColumn="0" w:firstRowLastColumn="0" w:lastRowFirstColumn="0" w:lastRowLastColumn="0"/>
            <w:tcW w:w="4674" w:type="dxa"/>
          </w:tcPr>
          <w:p w14:paraId="6562BA13" w14:textId="46EABE8B" w:rsidR="56521E9C" w:rsidRPr="003F094D" w:rsidRDefault="56521E9C" w:rsidP="003F094D">
            <w:pPr>
              <w:jc w:val="both"/>
              <w:rPr>
                <w:b w:val="0"/>
              </w:rPr>
            </w:pPr>
            <w:r w:rsidRPr="003F094D">
              <w:rPr>
                <w:b w:val="0"/>
              </w:rPr>
              <w:t>14:00 – 14:20</w:t>
            </w:r>
          </w:p>
        </w:tc>
        <w:tc>
          <w:tcPr>
            <w:tcW w:w="4676" w:type="dxa"/>
          </w:tcPr>
          <w:p w14:paraId="72C80C06" w14:textId="4CD9ADE6" w:rsidR="56521E9C" w:rsidRDefault="69FAA875" w:rsidP="003F094D">
            <w:pPr>
              <w:jc w:val="both"/>
              <w:cnfStyle w:val="000000000000" w:firstRow="0" w:lastRow="0" w:firstColumn="0" w:lastColumn="0" w:oddVBand="0" w:evenVBand="0" w:oddHBand="0" w:evenHBand="0" w:firstRowFirstColumn="0" w:firstRowLastColumn="0" w:lastRowFirstColumn="0" w:lastRowLastColumn="0"/>
            </w:pPr>
            <w:r>
              <w:t xml:space="preserve">Contributed </w:t>
            </w:r>
            <w:r w:rsidR="56521E9C">
              <w:t>talk</w:t>
            </w:r>
          </w:p>
        </w:tc>
      </w:tr>
      <w:tr w:rsidR="56521E9C" w14:paraId="7388DBBA" w14:textId="77777777" w:rsidTr="00C35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62DDFEB3" w14:textId="4538423A" w:rsidR="56521E9C" w:rsidRPr="003F094D" w:rsidRDefault="56521E9C" w:rsidP="003F094D">
            <w:pPr>
              <w:jc w:val="both"/>
              <w:rPr>
                <w:b w:val="0"/>
              </w:rPr>
            </w:pPr>
            <w:r w:rsidRPr="003F094D">
              <w:rPr>
                <w:b w:val="0"/>
              </w:rPr>
              <w:t>14:20 – 14:40</w:t>
            </w:r>
          </w:p>
        </w:tc>
        <w:tc>
          <w:tcPr>
            <w:tcW w:w="4676" w:type="dxa"/>
          </w:tcPr>
          <w:p w14:paraId="6036EA87" w14:textId="19CD7692" w:rsidR="56521E9C" w:rsidRDefault="69FAA875" w:rsidP="003F094D">
            <w:pPr>
              <w:jc w:val="both"/>
              <w:cnfStyle w:val="000000100000" w:firstRow="0" w:lastRow="0" w:firstColumn="0" w:lastColumn="0" w:oddVBand="0" w:evenVBand="0" w:oddHBand="1" w:evenHBand="0" w:firstRowFirstColumn="0" w:firstRowLastColumn="0" w:lastRowFirstColumn="0" w:lastRowLastColumn="0"/>
            </w:pPr>
            <w:r>
              <w:t xml:space="preserve">Contributed </w:t>
            </w:r>
            <w:r w:rsidR="56521E9C">
              <w:t>talk</w:t>
            </w:r>
          </w:p>
        </w:tc>
      </w:tr>
      <w:tr w:rsidR="56521E9C" w14:paraId="6298C1A4" w14:textId="77777777" w:rsidTr="00C35AEA">
        <w:trPr>
          <w:trHeight w:val="278"/>
        </w:trPr>
        <w:tc>
          <w:tcPr>
            <w:cnfStyle w:val="001000000000" w:firstRow="0" w:lastRow="0" w:firstColumn="1" w:lastColumn="0" w:oddVBand="0" w:evenVBand="0" w:oddHBand="0" w:evenHBand="0" w:firstRowFirstColumn="0" w:firstRowLastColumn="0" w:lastRowFirstColumn="0" w:lastRowLastColumn="0"/>
            <w:tcW w:w="4674" w:type="dxa"/>
          </w:tcPr>
          <w:p w14:paraId="6DFE2B32" w14:textId="4DAD5733" w:rsidR="56521E9C" w:rsidRPr="003F094D" w:rsidRDefault="56521E9C" w:rsidP="003F094D">
            <w:pPr>
              <w:jc w:val="both"/>
              <w:rPr>
                <w:b w:val="0"/>
              </w:rPr>
            </w:pPr>
            <w:r w:rsidRPr="003F094D">
              <w:rPr>
                <w:b w:val="0"/>
              </w:rPr>
              <w:t>14:40 – 15:00</w:t>
            </w:r>
          </w:p>
        </w:tc>
        <w:tc>
          <w:tcPr>
            <w:tcW w:w="4676" w:type="dxa"/>
          </w:tcPr>
          <w:p w14:paraId="1F34888C" w14:textId="40A72AC9" w:rsidR="00BF060B" w:rsidRDefault="69FAA875" w:rsidP="003F094D">
            <w:pPr>
              <w:tabs>
                <w:tab w:val="center" w:pos="2230"/>
              </w:tabs>
              <w:spacing w:after="160" w:line="259" w:lineRule="auto"/>
              <w:jc w:val="both"/>
              <w:cnfStyle w:val="000000000000" w:firstRow="0" w:lastRow="0" w:firstColumn="0" w:lastColumn="0" w:oddVBand="0" w:evenVBand="0" w:oddHBand="0" w:evenHBand="0" w:firstRowFirstColumn="0" w:firstRowLastColumn="0" w:lastRowFirstColumn="0" w:lastRowLastColumn="0"/>
            </w:pPr>
            <w:r>
              <w:t>Contributed talk</w:t>
            </w:r>
          </w:p>
        </w:tc>
      </w:tr>
      <w:tr w:rsidR="56521E9C" w14:paraId="4CE2E113" w14:textId="77777777" w:rsidTr="00C35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5045AA6F" w14:textId="06A2C829" w:rsidR="56521E9C" w:rsidRPr="003F094D" w:rsidRDefault="56521E9C" w:rsidP="003F094D">
            <w:pPr>
              <w:jc w:val="both"/>
              <w:rPr>
                <w:b w:val="0"/>
              </w:rPr>
            </w:pPr>
            <w:r w:rsidRPr="003F094D">
              <w:rPr>
                <w:b w:val="0"/>
              </w:rPr>
              <w:t>15:00</w:t>
            </w:r>
            <w:r w:rsidR="00980C94" w:rsidRPr="003F094D">
              <w:rPr>
                <w:b w:val="0"/>
              </w:rPr>
              <w:t xml:space="preserve"> </w:t>
            </w:r>
            <w:r w:rsidRPr="003F094D">
              <w:rPr>
                <w:b w:val="0"/>
              </w:rPr>
              <w:t>-</w:t>
            </w:r>
            <w:r w:rsidR="00980C94" w:rsidRPr="003F094D">
              <w:rPr>
                <w:b w:val="0"/>
              </w:rPr>
              <w:t xml:space="preserve"> </w:t>
            </w:r>
            <w:r w:rsidRPr="003F094D">
              <w:rPr>
                <w:b w:val="0"/>
              </w:rPr>
              <w:t>15:15</w:t>
            </w:r>
          </w:p>
        </w:tc>
        <w:tc>
          <w:tcPr>
            <w:tcW w:w="4676" w:type="dxa"/>
          </w:tcPr>
          <w:p w14:paraId="42C9B55A" w14:textId="783AAD65" w:rsidR="56521E9C" w:rsidRDefault="56521E9C" w:rsidP="003F094D">
            <w:pPr>
              <w:jc w:val="both"/>
              <w:cnfStyle w:val="000000100000" w:firstRow="0" w:lastRow="0" w:firstColumn="0" w:lastColumn="0" w:oddVBand="0" w:evenVBand="0" w:oddHBand="1" w:evenHBand="0" w:firstRowFirstColumn="0" w:firstRowLastColumn="0" w:lastRowFirstColumn="0" w:lastRowLastColumn="0"/>
            </w:pPr>
            <w:r>
              <w:t>Break</w:t>
            </w:r>
          </w:p>
        </w:tc>
      </w:tr>
      <w:tr w:rsidR="56521E9C" w14:paraId="762D2856" w14:textId="77777777" w:rsidTr="00C35AEA">
        <w:tc>
          <w:tcPr>
            <w:cnfStyle w:val="001000000000" w:firstRow="0" w:lastRow="0" w:firstColumn="1" w:lastColumn="0" w:oddVBand="0" w:evenVBand="0" w:oddHBand="0" w:evenHBand="0" w:firstRowFirstColumn="0" w:firstRowLastColumn="0" w:lastRowFirstColumn="0" w:lastRowLastColumn="0"/>
            <w:tcW w:w="4674" w:type="dxa"/>
          </w:tcPr>
          <w:p w14:paraId="236FACA8" w14:textId="38314979" w:rsidR="56521E9C" w:rsidRPr="003F094D" w:rsidRDefault="56521E9C" w:rsidP="003F094D">
            <w:pPr>
              <w:jc w:val="both"/>
              <w:rPr>
                <w:b w:val="0"/>
              </w:rPr>
            </w:pPr>
            <w:r w:rsidRPr="003F094D">
              <w:rPr>
                <w:b w:val="0"/>
              </w:rPr>
              <w:t xml:space="preserve">15:15 – 15:45                                         </w:t>
            </w:r>
          </w:p>
        </w:tc>
        <w:tc>
          <w:tcPr>
            <w:tcW w:w="4676" w:type="dxa"/>
          </w:tcPr>
          <w:p w14:paraId="71FB3E0D" w14:textId="728726F6" w:rsidR="56521E9C" w:rsidRDefault="56521E9C" w:rsidP="003F094D">
            <w:pPr>
              <w:jc w:val="both"/>
              <w:cnfStyle w:val="000000000000" w:firstRow="0" w:lastRow="0" w:firstColumn="0" w:lastColumn="0" w:oddVBand="0" w:evenVBand="0" w:oddHBand="0" w:evenHBand="0" w:firstRowFirstColumn="0" w:firstRowLastColumn="0" w:lastRowFirstColumn="0" w:lastRowLastColumn="0"/>
            </w:pPr>
            <w:r>
              <w:t>Invited Talk</w:t>
            </w:r>
          </w:p>
        </w:tc>
      </w:tr>
      <w:tr w:rsidR="56521E9C" w14:paraId="1A4ED849" w14:textId="77777777" w:rsidTr="00C35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32D70DB3" w14:textId="1165964A" w:rsidR="56521E9C" w:rsidRPr="003F094D" w:rsidRDefault="56521E9C" w:rsidP="003F094D">
            <w:pPr>
              <w:jc w:val="both"/>
              <w:rPr>
                <w:b w:val="0"/>
              </w:rPr>
            </w:pPr>
            <w:r w:rsidRPr="003F094D">
              <w:rPr>
                <w:b w:val="0"/>
              </w:rPr>
              <w:t xml:space="preserve">15:45 – 16:00    </w:t>
            </w:r>
          </w:p>
        </w:tc>
        <w:tc>
          <w:tcPr>
            <w:tcW w:w="4676" w:type="dxa"/>
          </w:tcPr>
          <w:p w14:paraId="41F4C02D" w14:textId="2E3AFB1B" w:rsidR="56521E9C" w:rsidRDefault="69FAA875" w:rsidP="003F094D">
            <w:pPr>
              <w:spacing w:after="160" w:line="259" w:lineRule="auto"/>
              <w:jc w:val="both"/>
              <w:cnfStyle w:val="000000100000" w:firstRow="0" w:lastRow="0" w:firstColumn="0" w:lastColumn="0" w:oddVBand="0" w:evenVBand="0" w:oddHBand="1" w:evenHBand="0" w:firstRowFirstColumn="0" w:firstRowLastColumn="0" w:lastRowFirstColumn="0" w:lastRowLastColumn="0"/>
            </w:pPr>
            <w:r>
              <w:t>Contributed talk</w:t>
            </w:r>
          </w:p>
        </w:tc>
      </w:tr>
      <w:tr w:rsidR="56521E9C" w14:paraId="6F2EB356" w14:textId="77777777" w:rsidTr="00C35AEA">
        <w:tc>
          <w:tcPr>
            <w:cnfStyle w:val="001000000000" w:firstRow="0" w:lastRow="0" w:firstColumn="1" w:lastColumn="0" w:oddVBand="0" w:evenVBand="0" w:oddHBand="0" w:evenHBand="0" w:firstRowFirstColumn="0" w:firstRowLastColumn="0" w:lastRowFirstColumn="0" w:lastRowLastColumn="0"/>
            <w:tcW w:w="4674" w:type="dxa"/>
          </w:tcPr>
          <w:p w14:paraId="6C342171" w14:textId="5044FF04" w:rsidR="56521E9C" w:rsidRPr="003F094D" w:rsidRDefault="56521E9C" w:rsidP="003F094D">
            <w:pPr>
              <w:jc w:val="both"/>
              <w:rPr>
                <w:b w:val="0"/>
              </w:rPr>
            </w:pPr>
            <w:r w:rsidRPr="003F094D">
              <w:rPr>
                <w:b w:val="0"/>
              </w:rPr>
              <w:t>16:00 – 16:15</w:t>
            </w:r>
          </w:p>
        </w:tc>
        <w:tc>
          <w:tcPr>
            <w:tcW w:w="4676" w:type="dxa"/>
          </w:tcPr>
          <w:p w14:paraId="49B9DB9F" w14:textId="04B98522" w:rsidR="56521E9C" w:rsidRDefault="69FAA875" w:rsidP="003F094D">
            <w:pPr>
              <w:jc w:val="both"/>
              <w:cnfStyle w:val="000000000000" w:firstRow="0" w:lastRow="0" w:firstColumn="0" w:lastColumn="0" w:oddVBand="0" w:evenVBand="0" w:oddHBand="0" w:evenHBand="0" w:firstRowFirstColumn="0" w:firstRowLastColumn="0" w:lastRowFirstColumn="0" w:lastRowLastColumn="0"/>
            </w:pPr>
            <w:r>
              <w:t>Cont</w:t>
            </w:r>
            <w:r w:rsidR="5AC2466F">
              <w:t>ributed</w:t>
            </w:r>
            <w:r w:rsidR="5AC2466F" w:rsidRPr="6B95D6C6">
              <w:t xml:space="preserve"> </w:t>
            </w:r>
            <w:r w:rsidR="56521E9C">
              <w:t>talk</w:t>
            </w:r>
          </w:p>
        </w:tc>
      </w:tr>
      <w:tr w:rsidR="56521E9C" w14:paraId="728DEC76" w14:textId="77777777" w:rsidTr="00C35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119390FC" w14:textId="7F348FEC" w:rsidR="56521E9C" w:rsidRPr="003F094D" w:rsidRDefault="56521E9C" w:rsidP="003F094D">
            <w:pPr>
              <w:jc w:val="both"/>
              <w:rPr>
                <w:b w:val="0"/>
              </w:rPr>
            </w:pPr>
            <w:r w:rsidRPr="003F094D">
              <w:rPr>
                <w:b w:val="0"/>
              </w:rPr>
              <w:t>16:15 – 16:30</w:t>
            </w:r>
          </w:p>
        </w:tc>
        <w:tc>
          <w:tcPr>
            <w:tcW w:w="4676" w:type="dxa"/>
          </w:tcPr>
          <w:p w14:paraId="6F850D8B" w14:textId="56CF721B" w:rsidR="56521E9C" w:rsidRDefault="5AC2466F" w:rsidP="003F094D">
            <w:pPr>
              <w:spacing w:after="160" w:line="259" w:lineRule="auto"/>
              <w:jc w:val="both"/>
              <w:cnfStyle w:val="000000100000" w:firstRow="0" w:lastRow="0" w:firstColumn="0" w:lastColumn="0" w:oddVBand="0" w:evenVBand="0" w:oddHBand="1" w:evenHBand="0" w:firstRowFirstColumn="0" w:firstRowLastColumn="0" w:lastRowFirstColumn="0" w:lastRowLastColumn="0"/>
            </w:pPr>
            <w:r>
              <w:t>Contributed talk</w:t>
            </w:r>
          </w:p>
        </w:tc>
      </w:tr>
      <w:tr w:rsidR="56521E9C" w14:paraId="34E9C6F2" w14:textId="77777777" w:rsidTr="00C35AEA">
        <w:tc>
          <w:tcPr>
            <w:cnfStyle w:val="001000000000" w:firstRow="0" w:lastRow="0" w:firstColumn="1" w:lastColumn="0" w:oddVBand="0" w:evenVBand="0" w:oddHBand="0" w:evenHBand="0" w:firstRowFirstColumn="0" w:firstRowLastColumn="0" w:lastRowFirstColumn="0" w:lastRowLastColumn="0"/>
            <w:tcW w:w="4674" w:type="dxa"/>
          </w:tcPr>
          <w:p w14:paraId="0A077255" w14:textId="3E52C771" w:rsidR="56521E9C" w:rsidRPr="003F094D" w:rsidRDefault="56521E9C" w:rsidP="003F094D">
            <w:pPr>
              <w:jc w:val="both"/>
              <w:rPr>
                <w:b w:val="0"/>
              </w:rPr>
            </w:pPr>
            <w:r w:rsidRPr="003F094D">
              <w:rPr>
                <w:b w:val="0"/>
              </w:rPr>
              <w:t>16:30 – 17:00</w:t>
            </w:r>
          </w:p>
        </w:tc>
        <w:tc>
          <w:tcPr>
            <w:tcW w:w="4676" w:type="dxa"/>
          </w:tcPr>
          <w:p w14:paraId="5F4F39C5" w14:textId="438A928F" w:rsidR="56521E9C" w:rsidRDefault="56521E9C" w:rsidP="003F094D">
            <w:pPr>
              <w:jc w:val="both"/>
              <w:cnfStyle w:val="000000000000" w:firstRow="0" w:lastRow="0" w:firstColumn="0" w:lastColumn="0" w:oddVBand="0" w:evenVBand="0" w:oddHBand="0" w:evenHBand="0" w:firstRowFirstColumn="0" w:firstRowLastColumn="0" w:lastRowFirstColumn="0" w:lastRowLastColumn="0"/>
            </w:pPr>
            <w:r>
              <w:t>Invited Talk</w:t>
            </w:r>
          </w:p>
        </w:tc>
      </w:tr>
      <w:tr w:rsidR="56521E9C" w14:paraId="004F9B79" w14:textId="77777777" w:rsidTr="00C35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1C34BEF3" w14:textId="6037B04F" w:rsidR="56521E9C" w:rsidRPr="003F094D" w:rsidRDefault="56521E9C" w:rsidP="003F094D">
            <w:pPr>
              <w:jc w:val="both"/>
              <w:rPr>
                <w:b w:val="0"/>
              </w:rPr>
            </w:pPr>
            <w:r w:rsidRPr="003F094D">
              <w:rPr>
                <w:b w:val="0"/>
              </w:rPr>
              <w:t>17:00 – 17:</w:t>
            </w:r>
            <w:r w:rsidR="2EF28802" w:rsidRPr="003F094D">
              <w:rPr>
                <w:b w:val="0"/>
              </w:rPr>
              <w:t>3</w:t>
            </w:r>
            <w:r w:rsidRPr="003F094D">
              <w:rPr>
                <w:b w:val="0"/>
              </w:rPr>
              <w:t>0</w:t>
            </w:r>
          </w:p>
        </w:tc>
        <w:tc>
          <w:tcPr>
            <w:tcW w:w="4676" w:type="dxa"/>
          </w:tcPr>
          <w:p w14:paraId="5B5B0C9E" w14:textId="619F7DB4" w:rsidR="56521E9C" w:rsidRDefault="56521E9C" w:rsidP="003F094D">
            <w:pPr>
              <w:jc w:val="both"/>
              <w:cnfStyle w:val="000000100000" w:firstRow="0" w:lastRow="0" w:firstColumn="0" w:lastColumn="0" w:oddVBand="0" w:evenVBand="0" w:oddHBand="1" w:evenHBand="0" w:firstRowFirstColumn="0" w:firstRowLastColumn="0" w:lastRowFirstColumn="0" w:lastRowLastColumn="0"/>
            </w:pPr>
            <w:r>
              <w:t>Posters &amp; Demonstrations</w:t>
            </w:r>
            <w:r w:rsidRPr="6B95D6C6">
              <w:t xml:space="preserve">  </w:t>
            </w:r>
          </w:p>
        </w:tc>
      </w:tr>
    </w:tbl>
    <w:p w14:paraId="2A9A72CF" w14:textId="77777777" w:rsidR="00BF060B" w:rsidRDefault="00BF060B" w:rsidP="003F094D">
      <w:pPr>
        <w:spacing w:after="0"/>
        <w:jc w:val="both"/>
        <w:rPr>
          <w:i/>
        </w:rPr>
      </w:pPr>
    </w:p>
    <w:p w14:paraId="17434903" w14:textId="57AB4685" w:rsidR="3A8E9E35" w:rsidRPr="003F094D" w:rsidRDefault="5B28492A" w:rsidP="003F094D">
      <w:pPr>
        <w:spacing w:after="0"/>
        <w:jc w:val="both"/>
        <w:rPr>
          <w:i/>
        </w:rPr>
      </w:pPr>
      <w:r w:rsidRPr="003F094D">
        <w:rPr>
          <w:i/>
          <w:iCs/>
        </w:rPr>
        <w:t>Submission Guidelines and</w:t>
      </w:r>
      <w:r w:rsidR="2B661640" w:rsidRPr="003F094D">
        <w:rPr>
          <w:i/>
          <w:iCs/>
        </w:rPr>
        <w:t xml:space="preserve"> </w:t>
      </w:r>
      <w:r w:rsidR="33048868" w:rsidRPr="003F094D">
        <w:rPr>
          <w:i/>
          <w:iCs/>
        </w:rPr>
        <w:t>Timeline</w:t>
      </w:r>
    </w:p>
    <w:p w14:paraId="7DB406F6" w14:textId="483B248F" w:rsidR="33048868" w:rsidRDefault="33048868" w:rsidP="003F094D">
      <w:pPr>
        <w:spacing w:after="0"/>
        <w:jc w:val="both"/>
      </w:pPr>
      <w:r>
        <w:t xml:space="preserve">The workshop requests submissions to </w:t>
      </w:r>
      <w:r w:rsidR="5D65695E">
        <w:t xml:space="preserve">follow IEEE </w:t>
      </w:r>
      <w:r w:rsidR="074A3D4F">
        <w:t xml:space="preserve">conference style </w:t>
      </w:r>
      <w:proofErr w:type="gramStart"/>
      <w:r w:rsidR="074A3D4F">
        <w:t>similar to</w:t>
      </w:r>
      <w:proofErr w:type="gramEnd"/>
      <w:r w:rsidR="074A3D4F">
        <w:t xml:space="preserve"> the main conference.  </w:t>
      </w:r>
      <w:r w:rsidR="5F9870FD">
        <w:t>Papers should be submitted in pdf format with a m</w:t>
      </w:r>
      <w:r w:rsidR="074A3D4F">
        <w:t>aximum length</w:t>
      </w:r>
      <w:r w:rsidR="5F9870FD">
        <w:t xml:space="preserve"> of 2 pages (excluding references and acknowledgements). </w:t>
      </w:r>
      <w:r w:rsidR="00AD66D1" w:rsidRPr="113D07EB">
        <w:t xml:space="preserve"> </w:t>
      </w:r>
      <w:r w:rsidR="00AD66D1">
        <w:t xml:space="preserve">Appendices are not permitted beyond the </w:t>
      </w:r>
      <w:proofErr w:type="gramStart"/>
      <w:r w:rsidR="00AD66D1">
        <w:t xml:space="preserve">2 </w:t>
      </w:r>
      <w:r w:rsidR="5B28492A">
        <w:t>page</w:t>
      </w:r>
      <w:proofErr w:type="gramEnd"/>
      <w:r w:rsidR="5B28492A" w:rsidRPr="113D07EB">
        <w:t xml:space="preserve"> </w:t>
      </w:r>
      <w:r w:rsidR="5B28492A">
        <w:t>limit</w:t>
      </w:r>
      <w:r w:rsidR="5B28492A" w:rsidRPr="113D07EB">
        <w:t>.</w:t>
      </w:r>
      <w:r w:rsidR="22663D28" w:rsidRPr="113D07EB">
        <w:t xml:space="preserve">  </w:t>
      </w:r>
      <w:r w:rsidR="22663D28">
        <w:t>Submissions will be selected according to reviewer's</w:t>
      </w:r>
      <w:r w:rsidR="1ED9CB66">
        <w:t xml:space="preserve"> comments and scoring with emphasis on </w:t>
      </w:r>
      <w:r w:rsidR="1189EB65">
        <w:t xml:space="preserve">quality, </w:t>
      </w:r>
      <w:r w:rsidR="6955B919">
        <w:t>novelty, appropriateness for the workshop</w:t>
      </w:r>
      <w:r w:rsidR="1189EB65">
        <w:t xml:space="preserve"> and potential impact on the field.</w:t>
      </w:r>
      <w:r w:rsidR="7DE1618B" w:rsidRPr="113D07EB">
        <w:t xml:space="preserve">  </w:t>
      </w:r>
    </w:p>
    <w:p w14:paraId="1FF65832" w14:textId="77777777" w:rsidR="00BF060B" w:rsidRDefault="00BF060B" w:rsidP="003F094D">
      <w:pPr>
        <w:spacing w:after="0"/>
        <w:jc w:val="both"/>
      </w:pPr>
    </w:p>
    <w:tbl>
      <w:tblPr>
        <w:tblStyle w:val="TableGrid"/>
        <w:tblW w:w="0" w:type="auto"/>
        <w:tblLook w:val="04A0" w:firstRow="1" w:lastRow="0" w:firstColumn="1" w:lastColumn="0" w:noHBand="0" w:noVBand="1"/>
      </w:tblPr>
      <w:tblGrid>
        <w:gridCol w:w="2155"/>
        <w:gridCol w:w="7195"/>
      </w:tblGrid>
      <w:tr w:rsidR="00BF060B" w14:paraId="13D469A7" w14:textId="77777777" w:rsidTr="003F094D">
        <w:tc>
          <w:tcPr>
            <w:tcW w:w="2155" w:type="dxa"/>
          </w:tcPr>
          <w:p w14:paraId="731276D1" w14:textId="0BFE5ED8" w:rsidR="00BF060B" w:rsidRDefault="00BF060B">
            <w:pPr>
              <w:jc w:val="both"/>
            </w:pPr>
            <w:r>
              <w:t>30</w:t>
            </w:r>
            <w:r w:rsidRPr="113D07EB">
              <w:t xml:space="preserve"> </w:t>
            </w:r>
            <w:r>
              <w:t>April 2018</w:t>
            </w:r>
          </w:p>
        </w:tc>
        <w:tc>
          <w:tcPr>
            <w:tcW w:w="7195" w:type="dxa"/>
          </w:tcPr>
          <w:p w14:paraId="266535F9" w14:textId="56B45513" w:rsidR="00BF060B" w:rsidRDefault="00BF060B">
            <w:pPr>
              <w:jc w:val="both"/>
            </w:pPr>
            <w:r>
              <w:t>Workshop submission deadline</w:t>
            </w:r>
          </w:p>
        </w:tc>
      </w:tr>
      <w:tr w:rsidR="00BF060B" w14:paraId="643BCF9F" w14:textId="77777777" w:rsidTr="003F094D">
        <w:tc>
          <w:tcPr>
            <w:tcW w:w="2155" w:type="dxa"/>
          </w:tcPr>
          <w:p w14:paraId="56E5D720" w14:textId="2EEFF742" w:rsidR="00BF060B" w:rsidRDefault="00BF060B">
            <w:pPr>
              <w:jc w:val="both"/>
            </w:pPr>
            <w:r>
              <w:t>1 May 2018</w:t>
            </w:r>
          </w:p>
        </w:tc>
        <w:tc>
          <w:tcPr>
            <w:tcW w:w="7195" w:type="dxa"/>
          </w:tcPr>
          <w:p w14:paraId="4A7ACDF3" w14:textId="55A30423" w:rsidR="00BF060B" w:rsidRDefault="00BF060B">
            <w:pPr>
              <w:jc w:val="both"/>
            </w:pPr>
            <w:r>
              <w:t>Submissions sent to reviewers</w:t>
            </w:r>
          </w:p>
        </w:tc>
      </w:tr>
      <w:tr w:rsidR="00BF060B" w14:paraId="6D72BF44" w14:textId="77777777" w:rsidTr="003F094D">
        <w:tc>
          <w:tcPr>
            <w:tcW w:w="2155" w:type="dxa"/>
          </w:tcPr>
          <w:p w14:paraId="6598F9A0" w14:textId="2D88721F" w:rsidR="00BF060B" w:rsidRDefault="00BF060B">
            <w:pPr>
              <w:jc w:val="both"/>
            </w:pPr>
            <w:r>
              <w:t>10 May 2018</w:t>
            </w:r>
          </w:p>
        </w:tc>
        <w:tc>
          <w:tcPr>
            <w:tcW w:w="7195" w:type="dxa"/>
          </w:tcPr>
          <w:p w14:paraId="38AD5A6C" w14:textId="70348EDF" w:rsidR="00BF060B" w:rsidRDefault="00BF060B">
            <w:pPr>
              <w:jc w:val="both"/>
            </w:pPr>
            <w:r>
              <w:t>Decisions sent to submission authors</w:t>
            </w:r>
          </w:p>
        </w:tc>
      </w:tr>
    </w:tbl>
    <w:p w14:paraId="60CB917C" w14:textId="0816DF15" w:rsidR="2EF28802" w:rsidRDefault="2EF28802" w:rsidP="003F094D">
      <w:pPr>
        <w:spacing w:after="0"/>
        <w:jc w:val="both"/>
      </w:pPr>
    </w:p>
    <w:sectPr w:rsidR="2EF28802" w:rsidSect="00C35AE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A7A5" w14:textId="77777777" w:rsidR="00015024" w:rsidRDefault="00015024" w:rsidP="00C35AEA">
      <w:pPr>
        <w:spacing w:after="0" w:line="240" w:lineRule="auto"/>
      </w:pPr>
      <w:r>
        <w:separator/>
      </w:r>
    </w:p>
  </w:endnote>
  <w:endnote w:type="continuationSeparator" w:id="0">
    <w:p w14:paraId="79E63439" w14:textId="77777777" w:rsidR="00015024" w:rsidRDefault="00015024" w:rsidP="00C3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6575" w14:textId="6505F9F9" w:rsidR="00C35AEA" w:rsidRPr="00C35AEA" w:rsidRDefault="00C35AEA" w:rsidP="00C35AEA">
    <w:pPr>
      <w:rPr>
        <w:color w:val="000000" w:themeColor="text1"/>
        <w:sz w:val="18"/>
      </w:rPr>
    </w:pPr>
    <w:r>
      <w:rPr>
        <w:color w:val="000000" w:themeColor="text1"/>
        <w:sz w:val="18"/>
      </w:rPr>
      <w:t>*</w:t>
    </w:r>
    <w:r w:rsidRPr="00C35AEA">
      <w:rPr>
        <w:color w:val="000000" w:themeColor="text1"/>
        <w:sz w:val="18"/>
      </w:rPr>
      <w:t xml:space="preserve">Sandia National Laboratories is a </w:t>
    </w:r>
    <w:proofErr w:type="spellStart"/>
    <w:r w:rsidRPr="00C35AEA">
      <w:rPr>
        <w:color w:val="000000" w:themeColor="text1"/>
        <w:sz w:val="18"/>
      </w:rPr>
      <w:t>multimission</w:t>
    </w:r>
    <w:proofErr w:type="spellEnd"/>
    <w:r w:rsidRPr="00C35AEA">
      <w:rPr>
        <w:color w:val="000000" w:themeColor="text1"/>
        <w:sz w:val="18"/>
      </w:rPr>
      <w:t xml:space="preserve"> laboratory managed and operated by National Technology and Engineering Solutions of Sandia, LLC., a wholly owned subsidiary of Honeywell International, Inc., for the U.S. Department of Energy’s National Nuclear Security Administration under contract DE-NA0003525.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56467" w14:textId="77777777" w:rsidR="00015024" w:rsidRDefault="00015024" w:rsidP="00C35AEA">
      <w:pPr>
        <w:spacing w:after="0" w:line="240" w:lineRule="auto"/>
      </w:pPr>
      <w:r>
        <w:separator/>
      </w:r>
    </w:p>
  </w:footnote>
  <w:footnote w:type="continuationSeparator" w:id="0">
    <w:p w14:paraId="6CDFCE39" w14:textId="77777777" w:rsidR="00015024" w:rsidRDefault="00015024" w:rsidP="00C35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015CE"/>
    <w:multiLevelType w:val="hybridMultilevel"/>
    <w:tmpl w:val="CFCA1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34421"/>
    <w:multiLevelType w:val="hybridMultilevel"/>
    <w:tmpl w:val="C39CBF6A"/>
    <w:lvl w:ilvl="0" w:tplc="EEDE8020">
      <w:start w:val="1"/>
      <w:numFmt w:val="bullet"/>
      <w:lvlText w:val=""/>
      <w:lvlJc w:val="left"/>
      <w:pPr>
        <w:ind w:left="720" w:hanging="360"/>
      </w:pPr>
      <w:rPr>
        <w:rFonts w:ascii="Symbol" w:hAnsi="Symbol" w:hint="default"/>
      </w:rPr>
    </w:lvl>
    <w:lvl w:ilvl="1" w:tplc="C70C8DB8">
      <w:start w:val="1"/>
      <w:numFmt w:val="bullet"/>
      <w:lvlText w:val="o"/>
      <w:lvlJc w:val="left"/>
      <w:pPr>
        <w:ind w:left="1440" w:hanging="360"/>
      </w:pPr>
      <w:rPr>
        <w:rFonts w:ascii="Courier New" w:hAnsi="Courier New" w:hint="default"/>
      </w:rPr>
    </w:lvl>
    <w:lvl w:ilvl="2" w:tplc="5B0078BA">
      <w:start w:val="1"/>
      <w:numFmt w:val="bullet"/>
      <w:lvlText w:val=""/>
      <w:lvlJc w:val="left"/>
      <w:pPr>
        <w:ind w:left="2160" w:hanging="360"/>
      </w:pPr>
      <w:rPr>
        <w:rFonts w:ascii="Wingdings" w:hAnsi="Wingdings" w:hint="default"/>
      </w:rPr>
    </w:lvl>
    <w:lvl w:ilvl="3" w:tplc="13C4CDEE">
      <w:start w:val="1"/>
      <w:numFmt w:val="bullet"/>
      <w:lvlText w:val=""/>
      <w:lvlJc w:val="left"/>
      <w:pPr>
        <w:ind w:left="2880" w:hanging="360"/>
      </w:pPr>
      <w:rPr>
        <w:rFonts w:ascii="Symbol" w:hAnsi="Symbol" w:hint="default"/>
      </w:rPr>
    </w:lvl>
    <w:lvl w:ilvl="4" w:tplc="DD7EC634">
      <w:start w:val="1"/>
      <w:numFmt w:val="bullet"/>
      <w:lvlText w:val="o"/>
      <w:lvlJc w:val="left"/>
      <w:pPr>
        <w:ind w:left="3600" w:hanging="360"/>
      </w:pPr>
      <w:rPr>
        <w:rFonts w:ascii="Courier New" w:hAnsi="Courier New" w:hint="default"/>
      </w:rPr>
    </w:lvl>
    <w:lvl w:ilvl="5" w:tplc="5E44B8FE">
      <w:start w:val="1"/>
      <w:numFmt w:val="bullet"/>
      <w:lvlText w:val=""/>
      <w:lvlJc w:val="left"/>
      <w:pPr>
        <w:ind w:left="4320" w:hanging="360"/>
      </w:pPr>
      <w:rPr>
        <w:rFonts w:ascii="Wingdings" w:hAnsi="Wingdings" w:hint="default"/>
      </w:rPr>
    </w:lvl>
    <w:lvl w:ilvl="6" w:tplc="59407D2C">
      <w:start w:val="1"/>
      <w:numFmt w:val="bullet"/>
      <w:lvlText w:val=""/>
      <w:lvlJc w:val="left"/>
      <w:pPr>
        <w:ind w:left="5040" w:hanging="360"/>
      </w:pPr>
      <w:rPr>
        <w:rFonts w:ascii="Symbol" w:hAnsi="Symbol" w:hint="default"/>
      </w:rPr>
    </w:lvl>
    <w:lvl w:ilvl="7" w:tplc="6E40EDA4">
      <w:start w:val="1"/>
      <w:numFmt w:val="bullet"/>
      <w:lvlText w:val="o"/>
      <w:lvlJc w:val="left"/>
      <w:pPr>
        <w:ind w:left="5760" w:hanging="360"/>
      </w:pPr>
      <w:rPr>
        <w:rFonts w:ascii="Courier New" w:hAnsi="Courier New" w:hint="default"/>
      </w:rPr>
    </w:lvl>
    <w:lvl w:ilvl="8" w:tplc="4EBC04B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77CF56"/>
    <w:rsid w:val="00015024"/>
    <w:rsid w:val="001117A0"/>
    <w:rsid w:val="002578E4"/>
    <w:rsid w:val="00261516"/>
    <w:rsid w:val="0037696A"/>
    <w:rsid w:val="00385E54"/>
    <w:rsid w:val="00386C18"/>
    <w:rsid w:val="0039612A"/>
    <w:rsid w:val="003A78FA"/>
    <w:rsid w:val="003B0360"/>
    <w:rsid w:val="003F094D"/>
    <w:rsid w:val="00415705"/>
    <w:rsid w:val="0053149B"/>
    <w:rsid w:val="00557EB1"/>
    <w:rsid w:val="00602F47"/>
    <w:rsid w:val="006B52AE"/>
    <w:rsid w:val="00753CC8"/>
    <w:rsid w:val="007B5BD8"/>
    <w:rsid w:val="008D1C29"/>
    <w:rsid w:val="008D43E3"/>
    <w:rsid w:val="00955292"/>
    <w:rsid w:val="00980C94"/>
    <w:rsid w:val="00A80AAD"/>
    <w:rsid w:val="00AB1AFD"/>
    <w:rsid w:val="00AD0056"/>
    <w:rsid w:val="00AD66D1"/>
    <w:rsid w:val="00B934F9"/>
    <w:rsid w:val="00BA6F9D"/>
    <w:rsid w:val="00BF060B"/>
    <w:rsid w:val="00C35AEA"/>
    <w:rsid w:val="00C370B6"/>
    <w:rsid w:val="00D69414"/>
    <w:rsid w:val="00D96174"/>
    <w:rsid w:val="00F03468"/>
    <w:rsid w:val="02E71BF3"/>
    <w:rsid w:val="0468CE53"/>
    <w:rsid w:val="047676DA"/>
    <w:rsid w:val="0482EBCE"/>
    <w:rsid w:val="056A06FC"/>
    <w:rsid w:val="06A6B15A"/>
    <w:rsid w:val="07334A18"/>
    <w:rsid w:val="074A3D4F"/>
    <w:rsid w:val="077AA682"/>
    <w:rsid w:val="077B4C85"/>
    <w:rsid w:val="07A5EDA8"/>
    <w:rsid w:val="082E60E8"/>
    <w:rsid w:val="094F9EE1"/>
    <w:rsid w:val="09DBA027"/>
    <w:rsid w:val="0A60E46C"/>
    <w:rsid w:val="0A7DA92B"/>
    <w:rsid w:val="0ABF5638"/>
    <w:rsid w:val="0B9F3374"/>
    <w:rsid w:val="0CFBCF5D"/>
    <w:rsid w:val="0D692FC1"/>
    <w:rsid w:val="10080634"/>
    <w:rsid w:val="113D07EB"/>
    <w:rsid w:val="115EACD5"/>
    <w:rsid w:val="11791E51"/>
    <w:rsid w:val="1189EB65"/>
    <w:rsid w:val="12A1EE05"/>
    <w:rsid w:val="131C994A"/>
    <w:rsid w:val="138DC372"/>
    <w:rsid w:val="13DCF939"/>
    <w:rsid w:val="14D97E1E"/>
    <w:rsid w:val="14F4CB0F"/>
    <w:rsid w:val="15CED4A8"/>
    <w:rsid w:val="16EA31CD"/>
    <w:rsid w:val="17480305"/>
    <w:rsid w:val="17D3C8FD"/>
    <w:rsid w:val="183A2B60"/>
    <w:rsid w:val="18B1BD92"/>
    <w:rsid w:val="18C3ED6E"/>
    <w:rsid w:val="1A0EAC70"/>
    <w:rsid w:val="1A8702F1"/>
    <w:rsid w:val="1B77CF56"/>
    <w:rsid w:val="1B7A0C41"/>
    <w:rsid w:val="1C8306A0"/>
    <w:rsid w:val="1D07EB24"/>
    <w:rsid w:val="1E6FA2D6"/>
    <w:rsid w:val="1EAA9BD4"/>
    <w:rsid w:val="1ED9CB66"/>
    <w:rsid w:val="1FCE9BA4"/>
    <w:rsid w:val="2157AD2E"/>
    <w:rsid w:val="21CE66FC"/>
    <w:rsid w:val="22663D28"/>
    <w:rsid w:val="22BFCC0F"/>
    <w:rsid w:val="23C72733"/>
    <w:rsid w:val="246389F6"/>
    <w:rsid w:val="252A996A"/>
    <w:rsid w:val="25AA3447"/>
    <w:rsid w:val="25C7D501"/>
    <w:rsid w:val="25F2741D"/>
    <w:rsid w:val="26B4F38D"/>
    <w:rsid w:val="280A520A"/>
    <w:rsid w:val="287D429A"/>
    <w:rsid w:val="2956E08B"/>
    <w:rsid w:val="296D1390"/>
    <w:rsid w:val="29F53B8C"/>
    <w:rsid w:val="2A9B3FA9"/>
    <w:rsid w:val="2AD58E01"/>
    <w:rsid w:val="2B661640"/>
    <w:rsid w:val="2B68D342"/>
    <w:rsid w:val="2BC09925"/>
    <w:rsid w:val="2CA0866D"/>
    <w:rsid w:val="2EF28802"/>
    <w:rsid w:val="2F2EE3E1"/>
    <w:rsid w:val="3157EAF3"/>
    <w:rsid w:val="33048868"/>
    <w:rsid w:val="3313126A"/>
    <w:rsid w:val="33EDD73B"/>
    <w:rsid w:val="360A145D"/>
    <w:rsid w:val="365C6CC8"/>
    <w:rsid w:val="36CE1545"/>
    <w:rsid w:val="37E0A863"/>
    <w:rsid w:val="3840DB9D"/>
    <w:rsid w:val="38579502"/>
    <w:rsid w:val="390F7D07"/>
    <w:rsid w:val="3A6232A6"/>
    <w:rsid w:val="3A81BAF8"/>
    <w:rsid w:val="3A8E9E35"/>
    <w:rsid w:val="3B1604F3"/>
    <w:rsid w:val="3BDA53D1"/>
    <w:rsid w:val="3C29C787"/>
    <w:rsid w:val="3C9D68B7"/>
    <w:rsid w:val="3CCA74C4"/>
    <w:rsid w:val="3D79E35E"/>
    <w:rsid w:val="3DAC1B76"/>
    <w:rsid w:val="3ED343F0"/>
    <w:rsid w:val="404D56DE"/>
    <w:rsid w:val="40C8ACC9"/>
    <w:rsid w:val="42448404"/>
    <w:rsid w:val="434936D0"/>
    <w:rsid w:val="43EFFBA5"/>
    <w:rsid w:val="44A63760"/>
    <w:rsid w:val="4542CAED"/>
    <w:rsid w:val="456CF0B8"/>
    <w:rsid w:val="476428FC"/>
    <w:rsid w:val="47921C22"/>
    <w:rsid w:val="47AA6708"/>
    <w:rsid w:val="4940FE4F"/>
    <w:rsid w:val="49B2F2C0"/>
    <w:rsid w:val="4AA689E3"/>
    <w:rsid w:val="4AB8ECA9"/>
    <w:rsid w:val="4C3332EE"/>
    <w:rsid w:val="4D2092D6"/>
    <w:rsid w:val="4E8055ED"/>
    <w:rsid w:val="500B153D"/>
    <w:rsid w:val="513461C5"/>
    <w:rsid w:val="5141EE02"/>
    <w:rsid w:val="51B9791A"/>
    <w:rsid w:val="51C04867"/>
    <w:rsid w:val="51EB34F8"/>
    <w:rsid w:val="533E452C"/>
    <w:rsid w:val="5364B76F"/>
    <w:rsid w:val="538FCE65"/>
    <w:rsid w:val="553608CF"/>
    <w:rsid w:val="557A039F"/>
    <w:rsid w:val="56521E9C"/>
    <w:rsid w:val="5756A7A2"/>
    <w:rsid w:val="57E75A1C"/>
    <w:rsid w:val="58FD7299"/>
    <w:rsid w:val="59FEF21E"/>
    <w:rsid w:val="5A379BCC"/>
    <w:rsid w:val="5A830F6F"/>
    <w:rsid w:val="5AC2466F"/>
    <w:rsid w:val="5B28492A"/>
    <w:rsid w:val="5B381C3A"/>
    <w:rsid w:val="5B868D56"/>
    <w:rsid w:val="5CE8F7B1"/>
    <w:rsid w:val="5D65695E"/>
    <w:rsid w:val="5E293977"/>
    <w:rsid w:val="5E48BAC8"/>
    <w:rsid w:val="5E4EB831"/>
    <w:rsid w:val="5F7C4330"/>
    <w:rsid w:val="5F9870FD"/>
    <w:rsid w:val="603A7885"/>
    <w:rsid w:val="61A7D1FC"/>
    <w:rsid w:val="61B6210C"/>
    <w:rsid w:val="6385C72E"/>
    <w:rsid w:val="654938C2"/>
    <w:rsid w:val="655A59F0"/>
    <w:rsid w:val="66106254"/>
    <w:rsid w:val="663B34C7"/>
    <w:rsid w:val="6731A023"/>
    <w:rsid w:val="67392807"/>
    <w:rsid w:val="679B74B2"/>
    <w:rsid w:val="67AA9F1E"/>
    <w:rsid w:val="694C6ACD"/>
    <w:rsid w:val="6955B919"/>
    <w:rsid w:val="6957AA56"/>
    <w:rsid w:val="69FAA875"/>
    <w:rsid w:val="6AE4D01C"/>
    <w:rsid w:val="6B4776D6"/>
    <w:rsid w:val="6B95D6C6"/>
    <w:rsid w:val="6C415FEC"/>
    <w:rsid w:val="6C9283DF"/>
    <w:rsid w:val="6D1B648B"/>
    <w:rsid w:val="6D3D0F6A"/>
    <w:rsid w:val="6D737F7E"/>
    <w:rsid w:val="6E150127"/>
    <w:rsid w:val="6F9B4FA4"/>
    <w:rsid w:val="70D0AF87"/>
    <w:rsid w:val="7167F757"/>
    <w:rsid w:val="721B08E7"/>
    <w:rsid w:val="737A7169"/>
    <w:rsid w:val="7413D3B6"/>
    <w:rsid w:val="74710F10"/>
    <w:rsid w:val="75BA9EAD"/>
    <w:rsid w:val="75F8F124"/>
    <w:rsid w:val="7691A2D6"/>
    <w:rsid w:val="776BA5F4"/>
    <w:rsid w:val="779ED32A"/>
    <w:rsid w:val="78E15112"/>
    <w:rsid w:val="793AF706"/>
    <w:rsid w:val="79606CA4"/>
    <w:rsid w:val="7B9DF17F"/>
    <w:rsid w:val="7C4C15EE"/>
    <w:rsid w:val="7C921B34"/>
    <w:rsid w:val="7DC59865"/>
    <w:rsid w:val="7DE1618B"/>
    <w:rsid w:val="7DEFFB99"/>
    <w:rsid w:val="7E2C3BB4"/>
    <w:rsid w:val="7E677EB5"/>
    <w:rsid w:val="7FFA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FD0B"/>
  <w15:chartTrackingRefBased/>
  <w15:docId w15:val="{A486E46C-EE44-41B6-AA65-CB5DFB78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955292"/>
    <w:rPr>
      <w:sz w:val="16"/>
      <w:szCs w:val="16"/>
    </w:rPr>
  </w:style>
  <w:style w:type="paragraph" w:styleId="CommentText">
    <w:name w:val="annotation text"/>
    <w:basedOn w:val="Normal"/>
    <w:link w:val="CommentTextChar"/>
    <w:uiPriority w:val="99"/>
    <w:semiHidden/>
    <w:unhideWhenUsed/>
    <w:rsid w:val="00955292"/>
    <w:pPr>
      <w:spacing w:line="240" w:lineRule="auto"/>
    </w:pPr>
    <w:rPr>
      <w:sz w:val="20"/>
      <w:szCs w:val="20"/>
    </w:rPr>
  </w:style>
  <w:style w:type="character" w:customStyle="1" w:styleId="CommentTextChar">
    <w:name w:val="Comment Text Char"/>
    <w:basedOn w:val="DefaultParagraphFont"/>
    <w:link w:val="CommentText"/>
    <w:uiPriority w:val="99"/>
    <w:semiHidden/>
    <w:rsid w:val="00955292"/>
    <w:rPr>
      <w:sz w:val="20"/>
      <w:szCs w:val="20"/>
    </w:rPr>
  </w:style>
  <w:style w:type="paragraph" w:styleId="CommentSubject">
    <w:name w:val="annotation subject"/>
    <w:basedOn w:val="CommentText"/>
    <w:next w:val="CommentText"/>
    <w:link w:val="CommentSubjectChar"/>
    <w:uiPriority w:val="99"/>
    <w:semiHidden/>
    <w:unhideWhenUsed/>
    <w:rsid w:val="00955292"/>
    <w:rPr>
      <w:b/>
      <w:bCs/>
    </w:rPr>
  </w:style>
  <w:style w:type="character" w:customStyle="1" w:styleId="CommentSubjectChar">
    <w:name w:val="Comment Subject Char"/>
    <w:basedOn w:val="CommentTextChar"/>
    <w:link w:val="CommentSubject"/>
    <w:uiPriority w:val="99"/>
    <w:semiHidden/>
    <w:rsid w:val="00955292"/>
    <w:rPr>
      <w:b/>
      <w:bCs/>
      <w:sz w:val="20"/>
      <w:szCs w:val="20"/>
    </w:rPr>
  </w:style>
  <w:style w:type="paragraph" w:styleId="BalloonText">
    <w:name w:val="Balloon Text"/>
    <w:basedOn w:val="Normal"/>
    <w:link w:val="BalloonTextChar"/>
    <w:uiPriority w:val="99"/>
    <w:semiHidden/>
    <w:unhideWhenUsed/>
    <w:rsid w:val="00955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292"/>
    <w:rPr>
      <w:rFonts w:ascii="Segoe UI" w:hAnsi="Segoe UI" w:cs="Segoe UI"/>
      <w:sz w:val="18"/>
      <w:szCs w:val="18"/>
    </w:rPr>
  </w:style>
  <w:style w:type="character" w:styleId="Mention">
    <w:name w:val="Mention"/>
    <w:basedOn w:val="DefaultParagraphFont"/>
    <w:uiPriority w:val="99"/>
    <w:semiHidden/>
    <w:unhideWhenUsed/>
    <w:rsid w:val="00955292"/>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C370B6"/>
    <w:pPr>
      <w:spacing w:after="0" w:line="240" w:lineRule="auto"/>
    </w:pPr>
  </w:style>
  <w:style w:type="table" w:styleId="PlainTable1">
    <w:name w:val="Plain Table 1"/>
    <w:basedOn w:val="TableNormal"/>
    <w:uiPriority w:val="41"/>
    <w:rsid w:val="00BF06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35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EA"/>
  </w:style>
  <w:style w:type="paragraph" w:styleId="Footer">
    <w:name w:val="footer"/>
    <w:basedOn w:val="Normal"/>
    <w:link w:val="FooterChar"/>
    <w:uiPriority w:val="99"/>
    <w:unhideWhenUsed/>
    <w:rsid w:val="00C35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C1FB4568BD18458F2F993DFD7D184A" ma:contentTypeVersion="0" ma:contentTypeDescription="Create a new document." ma:contentTypeScope="" ma:versionID="2b05cd71eea0d8700d8ba74e7c74b9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E9939-4D9A-4F0C-BAA1-D452EF4AD3DE}">
  <ds:schemaRefs>
    <ds:schemaRef ds:uri="http://schemas.microsoft.com/sharepoint/v3/contenttype/forms"/>
  </ds:schemaRefs>
</ds:datastoreItem>
</file>

<file path=customXml/itemProps2.xml><?xml version="1.0" encoding="utf-8"?>
<ds:datastoreItem xmlns:ds="http://schemas.openxmlformats.org/officeDocument/2006/customXml" ds:itemID="{B5413A40-5BB6-4495-92A6-E5AD2BD6D1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02C9B3-6DD4-48C5-B26F-B2D2408F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Vineyard, Craig Michael</dc:creator>
  <cp:keywords/>
  <dc:description/>
  <cp:lastModifiedBy>Robi Polikar</cp:lastModifiedBy>
  <cp:revision>2</cp:revision>
  <dcterms:created xsi:type="dcterms:W3CDTF">2018-01-05T15:25:00Z</dcterms:created>
  <dcterms:modified xsi:type="dcterms:W3CDTF">2018-01-05T15:25:00Z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0x0101007FC1FB4568BD18458F2F993DFD7D184A</vt:lpwstr>
  </property>
</Properties>
</file>